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F2761" w14:textId="3CF84D04" w:rsidR="005E2C8C" w:rsidRPr="005E2C8C" w:rsidRDefault="005E2C8C" w:rsidP="005E2C8C">
      <w:pPr>
        <w:tabs>
          <w:tab w:val="center" w:pos="4536"/>
          <w:tab w:val="right" w:pos="8280"/>
          <w:tab w:val="right" w:pos="9639"/>
        </w:tabs>
        <w:ind w:right="2"/>
        <w:rPr>
          <w:rFonts w:ascii="Arial" w:hAnsi="Arial" w:cs="Arial"/>
          <w:b/>
          <w:bCs/>
          <w:sz w:val="28"/>
        </w:rPr>
      </w:pPr>
      <w:bookmarkStart w:id="0" w:name="OLE_LINK3"/>
      <w:r w:rsidRPr="005E2C8C">
        <w:rPr>
          <w:rFonts w:ascii="Arial" w:hAnsi="Arial" w:cs="Arial"/>
          <w:b/>
          <w:bCs/>
          <w:sz w:val="28"/>
        </w:rPr>
        <w:t>3GPP TSG RAN WG1 #111</w:t>
      </w:r>
      <w:r w:rsidRPr="005E2C8C">
        <w:rPr>
          <w:rFonts w:ascii="Arial" w:hAnsi="Arial" w:cs="Arial"/>
          <w:b/>
          <w:bCs/>
          <w:sz w:val="28"/>
        </w:rPr>
        <w:tab/>
      </w:r>
      <w:r w:rsidRPr="005E2C8C">
        <w:rPr>
          <w:rFonts w:ascii="Arial" w:hAnsi="Arial" w:cs="Arial"/>
          <w:b/>
          <w:bCs/>
          <w:sz w:val="28"/>
        </w:rPr>
        <w:tab/>
      </w:r>
      <w:r w:rsidRPr="005E2C8C">
        <w:rPr>
          <w:rFonts w:ascii="Arial" w:hAnsi="Arial" w:cs="Arial"/>
          <w:b/>
          <w:bCs/>
          <w:sz w:val="28"/>
        </w:rPr>
        <w:tab/>
      </w:r>
      <w:r w:rsidR="00393C0C" w:rsidRPr="00393C0C">
        <w:rPr>
          <w:rFonts w:ascii="Arial" w:hAnsi="Arial" w:cs="Arial"/>
          <w:b/>
          <w:bCs/>
          <w:sz w:val="28"/>
        </w:rPr>
        <w:t>R1-2211959</w:t>
      </w:r>
    </w:p>
    <w:p w14:paraId="11669E6A" w14:textId="77777777" w:rsidR="005E2C8C" w:rsidRPr="005E2C8C" w:rsidRDefault="005E2C8C" w:rsidP="005E2C8C">
      <w:pPr>
        <w:tabs>
          <w:tab w:val="center" w:pos="4536"/>
          <w:tab w:val="right" w:pos="8280"/>
          <w:tab w:val="right" w:pos="9639"/>
        </w:tabs>
        <w:ind w:right="2"/>
        <w:rPr>
          <w:rFonts w:ascii="Arial" w:hAnsi="Arial" w:cs="Arial"/>
          <w:b/>
          <w:bCs/>
          <w:sz w:val="28"/>
        </w:rPr>
      </w:pPr>
      <w:r w:rsidRPr="005E2C8C">
        <w:rPr>
          <w:rFonts w:ascii="Arial" w:hAnsi="Arial" w:cs="Arial"/>
          <w:b/>
          <w:bCs/>
          <w:sz w:val="28"/>
        </w:rPr>
        <w:t>Toulouse, France, November 14</w:t>
      </w:r>
      <w:r w:rsidRPr="005E2C8C">
        <w:rPr>
          <w:rFonts w:ascii="Arial" w:hAnsi="Arial" w:cs="Arial"/>
          <w:b/>
          <w:bCs/>
          <w:sz w:val="28"/>
          <w:vertAlign w:val="superscript"/>
        </w:rPr>
        <w:t>th</w:t>
      </w:r>
      <w:r w:rsidRPr="005E2C8C">
        <w:rPr>
          <w:rFonts w:ascii="Arial" w:hAnsi="Arial" w:cs="Arial"/>
          <w:b/>
          <w:bCs/>
          <w:sz w:val="28"/>
        </w:rPr>
        <w:t xml:space="preserve"> – 18</w:t>
      </w:r>
      <w:r w:rsidRPr="005E2C8C">
        <w:rPr>
          <w:rFonts w:ascii="Arial" w:hAnsi="Arial" w:cs="Arial"/>
          <w:b/>
          <w:bCs/>
          <w:sz w:val="28"/>
          <w:vertAlign w:val="superscript"/>
        </w:rPr>
        <w:t>th</w:t>
      </w:r>
      <w:r w:rsidRPr="005E2C8C">
        <w:rPr>
          <w:rFonts w:ascii="Arial" w:hAnsi="Arial" w:cs="Arial"/>
          <w:b/>
          <w:bCs/>
          <w:sz w:val="28"/>
        </w:rPr>
        <w:t>, 2022</w:t>
      </w:r>
    </w:p>
    <w:p w14:paraId="7049E350" w14:textId="77777777" w:rsidR="00ED55BD" w:rsidRPr="005E2C8C" w:rsidRDefault="00ED55BD" w:rsidP="00ED55BD">
      <w:pPr>
        <w:tabs>
          <w:tab w:val="center" w:pos="4536"/>
          <w:tab w:val="right" w:pos="8280"/>
          <w:tab w:val="right" w:pos="9639"/>
        </w:tabs>
        <w:ind w:right="2"/>
        <w:rPr>
          <w:rFonts w:ascii="Arial" w:hAnsi="Arial" w:cs="Arial"/>
          <w:b/>
          <w:bCs/>
          <w:sz w:val="28"/>
        </w:rPr>
      </w:pPr>
    </w:p>
    <w:p w14:paraId="5DA26DD2" w14:textId="77777777" w:rsidR="00ED55BD" w:rsidRPr="000956CC" w:rsidRDefault="00ED55BD" w:rsidP="00ED55BD">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3B5BF193" w14:textId="1877FA66" w:rsidR="00ED55BD" w:rsidRPr="006C4B73" w:rsidRDefault="00ED55BD" w:rsidP="00ED55BD">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Pr="00733D27">
        <w:rPr>
          <w:sz w:val="24"/>
          <w:lang w:val="en-US"/>
        </w:rPr>
        <w:t xml:space="preserve">Discussion on </w:t>
      </w:r>
      <w:r>
        <w:rPr>
          <w:sz w:val="24"/>
          <w:lang w:val="en-US"/>
        </w:rPr>
        <w:t>remaining issues for NR coverage enhancement</w:t>
      </w:r>
    </w:p>
    <w:bookmarkEnd w:id="1"/>
    <w:bookmarkEnd w:id="2"/>
    <w:bookmarkEnd w:id="3"/>
    <w:bookmarkEnd w:id="4"/>
    <w:p w14:paraId="514F578A" w14:textId="4C74EB24" w:rsidR="00ED55BD" w:rsidRPr="00CE448F" w:rsidRDefault="00ED55BD" w:rsidP="00ED55BD">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Pr>
          <w:sz w:val="24"/>
          <w:lang w:val="en-US" w:eastAsia="ja-JP"/>
        </w:rPr>
        <w:t>8.</w:t>
      </w:r>
      <w:r>
        <w:rPr>
          <w:rFonts w:hint="eastAsia"/>
          <w:sz w:val="24"/>
          <w:lang w:val="en-US" w:eastAsia="ja-JP"/>
        </w:rPr>
        <w:t>8</w:t>
      </w:r>
    </w:p>
    <w:p w14:paraId="1D6BDF21" w14:textId="5F3E1C93" w:rsidR="00ED55BD" w:rsidRPr="00ED55BD" w:rsidRDefault="00ED55BD" w:rsidP="00ED55BD">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Pr="00CE448F">
        <w:rPr>
          <w:rFonts w:ascii="Arial" w:hAnsi="Arial"/>
          <w:b/>
          <w:lang w:val="en-US"/>
        </w:rPr>
        <w:t xml:space="preserve"> </w:t>
      </w:r>
      <w:r w:rsidRPr="00CE448F">
        <w:rPr>
          <w:rFonts w:ascii="Arial" w:hAnsi="Arial"/>
          <w:b/>
          <w:lang w:val="en-US"/>
        </w:rPr>
        <w:tab/>
        <w:t>Discussion and Decision</w:t>
      </w:r>
    </w:p>
    <w:p w14:paraId="00CAE8BF" w14:textId="60C63F0F"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763EDAF0" w14:textId="12E7B2B6" w:rsidR="002B07F3" w:rsidRPr="00681E82" w:rsidRDefault="002A511E" w:rsidP="00681E82">
      <w:pPr>
        <w:rPr>
          <w:sz w:val="22"/>
          <w:szCs w:val="22"/>
          <w:lang w:val="en-US"/>
        </w:rPr>
      </w:pPr>
      <w:r w:rsidRPr="002A511E">
        <w:rPr>
          <w:sz w:val="22"/>
          <w:szCs w:val="22"/>
          <w:lang w:val="en-US"/>
        </w:rPr>
        <w:t>In this contribution, we discuss remaining issues on</w:t>
      </w:r>
      <w:r w:rsidR="007E607B" w:rsidRPr="007E607B">
        <w:rPr>
          <w:sz w:val="22"/>
          <w:szCs w:val="22"/>
          <w:lang w:val="en-US"/>
        </w:rPr>
        <w:t xml:space="preserve"> </w:t>
      </w:r>
      <w:r w:rsidR="00ED55BD">
        <w:rPr>
          <w:sz w:val="22"/>
          <w:szCs w:val="22"/>
          <w:lang w:val="en-US"/>
        </w:rPr>
        <w:t>NR coverage enhancement</w:t>
      </w:r>
      <w:r w:rsidR="007E607B" w:rsidRPr="007E607B">
        <w:rPr>
          <w:sz w:val="22"/>
          <w:szCs w:val="22"/>
          <w:lang w:val="en-US"/>
        </w:rPr>
        <w:t>.</w:t>
      </w:r>
    </w:p>
    <w:p w14:paraId="27126AFD" w14:textId="1AF8C361" w:rsidR="00422BED" w:rsidRDefault="005768AF" w:rsidP="005025F7">
      <w:pPr>
        <w:pStyle w:val="1"/>
        <w:numPr>
          <w:ilvl w:val="0"/>
          <w:numId w:val="6"/>
        </w:numPr>
        <w:spacing w:before="180" w:after="120"/>
        <w:rPr>
          <w:rFonts w:eastAsia="ＭＳ 明朝"/>
          <w:b/>
          <w:bCs/>
          <w:szCs w:val="24"/>
          <w:lang w:val="en-US"/>
        </w:rPr>
      </w:pPr>
      <w:r w:rsidRPr="00546B31">
        <w:rPr>
          <w:rFonts w:eastAsia="ＭＳ 明朝"/>
          <w:b/>
          <w:bCs/>
          <w:szCs w:val="24"/>
          <w:lang w:val="en-US"/>
        </w:rPr>
        <w:t xml:space="preserve">Discussion on </w:t>
      </w:r>
      <w:r w:rsidR="00546B31" w:rsidRPr="00546B31">
        <w:rPr>
          <w:rFonts w:eastAsia="ＭＳ 明朝"/>
          <w:b/>
          <w:bCs/>
          <w:szCs w:val="24"/>
          <w:lang w:val="en-US"/>
        </w:rPr>
        <w:t>joint channel estimation for PUSCH</w:t>
      </w:r>
      <w:r w:rsidR="0032359A">
        <w:rPr>
          <w:rFonts w:eastAsia="ＭＳ 明朝"/>
          <w:b/>
          <w:bCs/>
          <w:szCs w:val="24"/>
          <w:lang w:val="en-US"/>
        </w:rPr>
        <w:t xml:space="preserve"> and PUCCH</w:t>
      </w:r>
    </w:p>
    <w:p w14:paraId="546C2CBD" w14:textId="661ADD54" w:rsidR="003A7A1E" w:rsidRPr="003A7A1E" w:rsidRDefault="003A7A1E" w:rsidP="00681E82">
      <w:pPr>
        <w:pStyle w:val="2"/>
        <w:numPr>
          <w:ilvl w:val="1"/>
          <w:numId w:val="33"/>
        </w:numPr>
        <w:tabs>
          <w:tab w:val="num" w:pos="360"/>
        </w:tabs>
        <w:spacing w:before="240"/>
        <w:ind w:left="360" w:hanging="360"/>
        <w:jc w:val="both"/>
        <w:rPr>
          <w:b/>
          <w:bCs/>
          <w:sz w:val="22"/>
          <w:szCs w:val="22"/>
          <w:lang w:val="en-US"/>
        </w:rPr>
      </w:pPr>
      <w:r>
        <w:rPr>
          <w:b/>
          <w:bCs/>
          <w:sz w:val="22"/>
          <w:szCs w:val="22"/>
          <w:lang w:val="en-US"/>
        </w:rPr>
        <w:t>Clarification of restarting DMRS bundling</w:t>
      </w:r>
    </w:p>
    <w:p w14:paraId="2BB0059C" w14:textId="586923EF" w:rsidR="003A7A1E" w:rsidRDefault="003A7A1E" w:rsidP="00681E82">
      <w:pPr>
        <w:spacing w:after="240"/>
        <w:rPr>
          <w:rFonts w:eastAsiaTheme="minorEastAsia"/>
          <w:sz w:val="22"/>
          <w:szCs w:val="22"/>
          <w:lang w:val="en-US"/>
        </w:rPr>
      </w:pPr>
      <w:r>
        <w:rPr>
          <w:rFonts w:eastAsiaTheme="minorEastAsia"/>
          <w:sz w:val="22"/>
          <w:szCs w:val="22"/>
          <w:lang w:val="en-US"/>
        </w:rPr>
        <w:t>RAN1</w:t>
      </w:r>
      <w:r w:rsidR="000403CC">
        <w:rPr>
          <w:rFonts w:eastAsiaTheme="minorEastAsia"/>
          <w:sz w:val="22"/>
          <w:szCs w:val="22"/>
          <w:lang w:val="en-US"/>
        </w:rPr>
        <w:t xml:space="preserve"> has not </w:t>
      </w:r>
      <w:r w:rsidR="00EF0845">
        <w:rPr>
          <w:rFonts w:eastAsiaTheme="minorEastAsia"/>
          <w:sz w:val="22"/>
          <w:szCs w:val="22"/>
          <w:lang w:val="en-US"/>
        </w:rPr>
        <w:t xml:space="preserve">yet </w:t>
      </w:r>
      <w:r>
        <w:rPr>
          <w:rFonts w:eastAsiaTheme="minorEastAsia"/>
          <w:sz w:val="22"/>
          <w:szCs w:val="22"/>
          <w:lang w:val="en-US"/>
        </w:rPr>
        <w:t>concluded the behavior of restarting DMRS bundling subject to semi-static events after dynamic events within one nominal TDW</w:t>
      </w:r>
      <w:r w:rsidR="00360D3B">
        <w:rPr>
          <w:rFonts w:eastAsiaTheme="minorEastAsia"/>
          <w:sz w:val="22"/>
          <w:szCs w:val="22"/>
          <w:lang w:val="en-US"/>
        </w:rPr>
        <w:t xml:space="preserve">, and it was agreed </w:t>
      </w:r>
      <w:r w:rsidR="00EF0845">
        <w:rPr>
          <w:rFonts w:eastAsiaTheme="minorEastAsia"/>
          <w:sz w:val="22"/>
          <w:szCs w:val="22"/>
          <w:lang w:val="en-US"/>
        </w:rPr>
        <w:t xml:space="preserve">at the RAN#97-e </w:t>
      </w:r>
      <w:r w:rsidR="00360D3B">
        <w:rPr>
          <w:rFonts w:eastAsiaTheme="minorEastAsia"/>
          <w:sz w:val="22"/>
          <w:szCs w:val="22"/>
          <w:lang w:val="en-US"/>
        </w:rPr>
        <w:t>that RAN1 will continue the related discussion [</w:t>
      </w:r>
      <w:r w:rsidR="005E2C8C">
        <w:rPr>
          <w:rFonts w:eastAsiaTheme="minorEastAsia"/>
          <w:sz w:val="22"/>
          <w:szCs w:val="22"/>
          <w:lang w:val="en-US"/>
        </w:rPr>
        <w:t>1</w:t>
      </w:r>
      <w:r w:rsidR="00360D3B">
        <w:rPr>
          <w:rFonts w:eastAsiaTheme="minorEastAsia"/>
          <w:sz w:val="22"/>
          <w:szCs w:val="22"/>
          <w:lang w:val="en-US"/>
        </w:rPr>
        <w:t>]</w:t>
      </w:r>
      <w:r>
        <w:rPr>
          <w:rFonts w:eastAsiaTheme="minorEastAsia"/>
          <w:sz w:val="22"/>
          <w:szCs w:val="22"/>
          <w:lang w:val="en-US"/>
        </w:rPr>
        <w:t xml:space="preserve">. Whether it is mandatory to support restarting DMRS bundling subject to semi-static events even after dynamic events is controversial, even though the current CR description can be read as </w:t>
      </w:r>
      <w:r w:rsidR="00122AF0">
        <w:rPr>
          <w:rFonts w:eastAsiaTheme="minorEastAsia"/>
          <w:sz w:val="22"/>
          <w:szCs w:val="22"/>
          <w:lang w:val="en-US"/>
        </w:rPr>
        <w:t>it is mandatory function for UE</w:t>
      </w:r>
      <w:r>
        <w:rPr>
          <w:rFonts w:eastAsiaTheme="minorEastAsia"/>
          <w:sz w:val="22"/>
          <w:szCs w:val="22"/>
          <w:lang w:val="en-US"/>
        </w:rPr>
        <w:t xml:space="preserve"> </w:t>
      </w:r>
      <w:r w:rsidR="00122AF0">
        <w:rPr>
          <w:rFonts w:eastAsiaTheme="minorEastAsia"/>
          <w:sz w:val="22"/>
          <w:szCs w:val="22"/>
          <w:lang w:val="en-US"/>
        </w:rPr>
        <w:t>supporting DMRS bundling</w:t>
      </w:r>
      <w:r>
        <w:rPr>
          <w:rFonts w:eastAsiaTheme="minorEastAsia"/>
          <w:sz w:val="22"/>
          <w:szCs w:val="22"/>
          <w:lang w:val="en-US"/>
        </w:rPr>
        <w:t>.</w:t>
      </w:r>
    </w:p>
    <w:p w14:paraId="137A14BD" w14:textId="2B486432" w:rsidR="003A7A1E" w:rsidRDefault="003A7A1E" w:rsidP="00681E82">
      <w:pPr>
        <w:spacing w:after="240"/>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here are two agreements related to the restarting DMRS bundling as follows.</w:t>
      </w:r>
    </w:p>
    <w:tbl>
      <w:tblPr>
        <w:tblStyle w:val="aff4"/>
        <w:tblW w:w="0" w:type="auto"/>
        <w:jc w:val="center"/>
        <w:tblLook w:val="04A0" w:firstRow="1" w:lastRow="0" w:firstColumn="1" w:lastColumn="0" w:noHBand="0" w:noVBand="1"/>
      </w:tblPr>
      <w:tblGrid>
        <w:gridCol w:w="9962"/>
      </w:tblGrid>
      <w:tr w:rsidR="003A7A1E" w:rsidRPr="00A31D60" w14:paraId="06E0DB3C" w14:textId="77777777" w:rsidTr="00976F5E">
        <w:trPr>
          <w:trHeight w:val="1833"/>
          <w:jc w:val="center"/>
        </w:trPr>
        <w:tc>
          <w:tcPr>
            <w:tcW w:w="9962" w:type="dxa"/>
          </w:tcPr>
          <w:p w14:paraId="17847F07" w14:textId="77777777" w:rsidR="003A7A1E" w:rsidRDefault="003A7A1E" w:rsidP="003A7A1E">
            <w:pPr>
              <w:rPr>
                <w:rFonts w:eastAsia="Batang"/>
                <w:b/>
                <w:szCs w:val="21"/>
                <w:highlight w:val="green"/>
                <w:lang w:eastAsia="en-US"/>
              </w:rPr>
            </w:pPr>
            <w:r>
              <w:rPr>
                <w:rFonts w:eastAsia="Batang"/>
                <w:b/>
                <w:szCs w:val="21"/>
                <w:highlight w:val="green"/>
                <w:lang w:eastAsia="en-US"/>
              </w:rPr>
              <w:t>Agreement:</w:t>
            </w:r>
          </w:p>
          <w:p w14:paraId="5109ED0F" w14:textId="77777777" w:rsidR="003A7A1E" w:rsidRPr="003A7A1E" w:rsidRDefault="003A7A1E" w:rsidP="003A7A1E">
            <w:pPr>
              <w:pStyle w:val="aff6"/>
              <w:numPr>
                <w:ilvl w:val="0"/>
                <w:numId w:val="30"/>
              </w:numPr>
              <w:snapToGrid w:val="0"/>
              <w:spacing w:after="120" w:line="259" w:lineRule="auto"/>
              <w:ind w:leftChars="0"/>
              <w:rPr>
                <w:bCs/>
                <w:sz w:val="21"/>
                <w:szCs w:val="21"/>
                <w:highlight w:val="yellow"/>
              </w:rPr>
            </w:pPr>
            <w:r w:rsidRPr="003A7A1E">
              <w:rPr>
                <w:bCs/>
                <w:sz w:val="21"/>
                <w:szCs w:val="21"/>
                <w:highlight w:val="yellow"/>
              </w:rPr>
              <w:t>If DM-RS bundling is supported, UE is mandatory to support restarting DM-RS bundling due to semi-static events. UE capability of restarting DMRS bundling is applied only to dynamic events.</w:t>
            </w:r>
          </w:p>
          <w:p w14:paraId="04D8372A" w14:textId="77777777" w:rsidR="003A7A1E" w:rsidRDefault="003A7A1E" w:rsidP="003A7A1E">
            <w:pPr>
              <w:pStyle w:val="aff6"/>
              <w:numPr>
                <w:ilvl w:val="1"/>
                <w:numId w:val="31"/>
              </w:numPr>
              <w:snapToGrid w:val="0"/>
              <w:spacing w:after="120" w:line="259" w:lineRule="auto"/>
              <w:ind w:leftChars="0"/>
              <w:jc w:val="both"/>
              <w:rPr>
                <w:color w:val="000000"/>
                <w:sz w:val="21"/>
                <w:szCs w:val="21"/>
              </w:rPr>
            </w:pPr>
            <w:r>
              <w:rPr>
                <w:color w:val="000000"/>
                <w:sz w:val="21"/>
                <w:szCs w:val="21"/>
              </w:rPr>
              <w:t>A</w:t>
            </w:r>
            <w:r>
              <w:rPr>
                <w:bCs/>
                <w:color w:val="000000"/>
                <w:sz w:val="21"/>
                <w:szCs w:val="21"/>
              </w:rPr>
              <w:t>n event is regarded as a dynamic event if it is triggered by a DCI or MAC-CE, otherwise it is regarded as a semi-static event.</w:t>
            </w:r>
          </w:p>
          <w:p w14:paraId="76710A40" w14:textId="4DA4AF34" w:rsidR="003A7A1E" w:rsidRPr="003A7A1E" w:rsidRDefault="003A7A1E" w:rsidP="003A7A1E">
            <w:pPr>
              <w:pStyle w:val="aff6"/>
              <w:numPr>
                <w:ilvl w:val="1"/>
                <w:numId w:val="31"/>
              </w:numPr>
              <w:snapToGrid w:val="0"/>
              <w:spacing w:after="120" w:line="259" w:lineRule="auto"/>
              <w:ind w:leftChars="0"/>
              <w:jc w:val="both"/>
              <w:rPr>
                <w:bCs/>
                <w:color w:val="000000"/>
                <w:sz w:val="21"/>
                <w:szCs w:val="21"/>
              </w:rPr>
            </w:pPr>
            <w:r>
              <w:rPr>
                <w:rFonts w:eastAsia="DengXian" w:hint="eastAsia"/>
                <w:bCs/>
                <w:color w:val="000000"/>
                <w:sz w:val="21"/>
                <w:szCs w:val="21"/>
                <w:lang w:eastAsia="zh-CN"/>
              </w:rPr>
              <w:t>N</w:t>
            </w:r>
            <w:r>
              <w:rPr>
                <w:rFonts w:eastAsia="DengXian"/>
                <w:bCs/>
                <w:color w:val="000000"/>
                <w:sz w:val="21"/>
                <w:szCs w:val="21"/>
                <w:lang w:eastAsia="zh-CN"/>
              </w:rPr>
              <w:t xml:space="preserve">ote: At least </w:t>
            </w:r>
            <w:r>
              <w:rPr>
                <w:bCs/>
                <w:color w:val="000000"/>
                <w:sz w:val="21"/>
                <w:szCs w:val="21"/>
              </w:rPr>
              <w:t>frequency hopping event is considered as semi-static event.</w:t>
            </w:r>
          </w:p>
          <w:p w14:paraId="34395BD3" w14:textId="77777777" w:rsidR="003A7A1E" w:rsidRDefault="003A7A1E" w:rsidP="003A7A1E">
            <w:pPr>
              <w:rPr>
                <w:rFonts w:eastAsia="Batang"/>
                <w:b/>
                <w:szCs w:val="21"/>
                <w:highlight w:val="green"/>
                <w:lang w:eastAsia="en-US"/>
              </w:rPr>
            </w:pPr>
          </w:p>
          <w:p w14:paraId="511963C6" w14:textId="69A32E70" w:rsidR="003A7A1E" w:rsidRDefault="003A7A1E" w:rsidP="003A7A1E">
            <w:pPr>
              <w:rPr>
                <w:rFonts w:eastAsia="Batang"/>
                <w:b/>
                <w:szCs w:val="21"/>
                <w:highlight w:val="green"/>
                <w:lang w:eastAsia="en-US"/>
              </w:rPr>
            </w:pPr>
            <w:r>
              <w:rPr>
                <w:rFonts w:eastAsia="Batang"/>
                <w:b/>
                <w:szCs w:val="21"/>
                <w:highlight w:val="green"/>
                <w:lang w:eastAsia="en-US"/>
              </w:rPr>
              <w:t>The following working Assumption is confirmed.</w:t>
            </w:r>
          </w:p>
          <w:tbl>
            <w:tblPr>
              <w:tblStyle w:val="aff4"/>
              <w:tblW w:w="0" w:type="auto"/>
              <w:tblLook w:val="04A0" w:firstRow="1" w:lastRow="0" w:firstColumn="1" w:lastColumn="0" w:noHBand="0" w:noVBand="1"/>
            </w:tblPr>
            <w:tblGrid>
              <w:gridCol w:w="9736"/>
            </w:tblGrid>
            <w:tr w:rsidR="003A7A1E" w14:paraId="662398E0" w14:textId="77777777" w:rsidTr="00976F5E">
              <w:tc>
                <w:tcPr>
                  <w:tcW w:w="9962" w:type="dxa"/>
                </w:tcPr>
                <w:p w14:paraId="56158649" w14:textId="77777777" w:rsidR="003A7A1E" w:rsidRPr="003A7A1E" w:rsidRDefault="003A7A1E" w:rsidP="003A7A1E">
                  <w:pPr>
                    <w:tabs>
                      <w:tab w:val="left" w:pos="1701"/>
                    </w:tabs>
                    <w:rPr>
                      <w:rFonts w:eastAsia="Batang"/>
                      <w:b/>
                      <w:sz w:val="21"/>
                      <w:szCs w:val="21"/>
                      <w:highlight w:val="darkYellow"/>
                      <w:lang w:eastAsia="en-US"/>
                    </w:rPr>
                  </w:pPr>
                  <w:r w:rsidRPr="003A7A1E">
                    <w:rPr>
                      <w:rFonts w:eastAsia="Batang"/>
                      <w:b/>
                      <w:sz w:val="21"/>
                      <w:szCs w:val="21"/>
                      <w:highlight w:val="darkYellow"/>
                      <w:lang w:eastAsia="en-US"/>
                    </w:rPr>
                    <w:t>Working assumption:</w:t>
                  </w:r>
                </w:p>
                <w:p w14:paraId="12CD72D1" w14:textId="77777777" w:rsidR="003A7A1E" w:rsidRPr="003A7A1E" w:rsidRDefault="003A7A1E" w:rsidP="003A7A1E">
                  <w:pPr>
                    <w:snapToGrid w:val="0"/>
                    <w:spacing w:after="120" w:line="252" w:lineRule="auto"/>
                    <w:rPr>
                      <w:sz w:val="21"/>
                      <w:szCs w:val="21"/>
                    </w:rPr>
                  </w:pPr>
                  <w:r w:rsidRPr="003A7A1E">
                    <w:rPr>
                      <w:sz w:val="21"/>
                      <w:szCs w:val="21"/>
                    </w:rPr>
                    <w:t>For joint channel estimation for PUSCH repetition type A of PUSCH repetitions of the same TB, all the repetitions are covered by one or multiple consecutive/non-consecutive configured TDWs.</w:t>
                  </w:r>
                </w:p>
                <w:p w14:paraId="6EBA7CA9" w14:textId="77777777" w:rsidR="003A7A1E" w:rsidRPr="003A7A1E" w:rsidRDefault="003A7A1E" w:rsidP="003A7A1E">
                  <w:pPr>
                    <w:numPr>
                      <w:ilvl w:val="0"/>
                      <w:numId w:val="29"/>
                    </w:numPr>
                    <w:snapToGrid w:val="0"/>
                    <w:spacing w:after="120" w:line="252" w:lineRule="auto"/>
                    <w:jc w:val="both"/>
                    <w:rPr>
                      <w:sz w:val="21"/>
                      <w:szCs w:val="21"/>
                    </w:rPr>
                  </w:pPr>
                  <w:r w:rsidRPr="003A7A1E">
                    <w:rPr>
                      <w:sz w:val="21"/>
                      <w:szCs w:val="21"/>
                    </w:rPr>
                    <w:t>Each configured TDW consists of one or multiple consecutive physical slots.</w:t>
                  </w:r>
                </w:p>
                <w:p w14:paraId="034D5D34" w14:textId="177136C2" w:rsidR="003A7A1E" w:rsidRPr="003A7A1E" w:rsidRDefault="003A7A1E" w:rsidP="003A7A1E">
                  <w:pPr>
                    <w:numPr>
                      <w:ilvl w:val="0"/>
                      <w:numId w:val="29"/>
                    </w:numPr>
                    <w:snapToGrid w:val="0"/>
                    <w:spacing w:after="120" w:line="252" w:lineRule="auto"/>
                    <w:jc w:val="both"/>
                    <w:rPr>
                      <w:sz w:val="21"/>
                      <w:szCs w:val="21"/>
                    </w:rPr>
                  </w:pPr>
                  <w:r w:rsidRPr="003A7A1E">
                    <w:rPr>
                      <w:sz w:val="21"/>
                      <w:szCs w:val="21"/>
                    </w:rPr>
                    <w:t xml:space="preserve">The window length </w:t>
                  </w:r>
                  <w:r w:rsidRPr="003A7A1E">
                    <w:rPr>
                      <w:i/>
                      <w:iCs/>
                      <w:sz w:val="21"/>
                      <w:szCs w:val="21"/>
                    </w:rPr>
                    <w:t>L</w:t>
                  </w:r>
                  <w:r w:rsidRPr="003A7A1E">
                    <w:rPr>
                      <w:sz w:val="21"/>
                      <w:szCs w:val="21"/>
                    </w:rPr>
                    <w:t xml:space="preserve"> of the configured TDW(s) can be explicitly configured with a single value.</w:t>
                  </w:r>
                </w:p>
                <w:p w14:paraId="49FD4678" w14:textId="618E2177" w:rsidR="003A7A1E" w:rsidRPr="003A7A1E" w:rsidRDefault="003A7A1E" w:rsidP="003A7A1E">
                  <w:pPr>
                    <w:numPr>
                      <w:ilvl w:val="1"/>
                      <w:numId w:val="29"/>
                    </w:numPr>
                    <w:snapToGrid w:val="0"/>
                    <w:spacing w:after="120" w:line="252" w:lineRule="auto"/>
                    <w:jc w:val="both"/>
                    <w:rPr>
                      <w:sz w:val="21"/>
                      <w:szCs w:val="21"/>
                    </w:rPr>
                  </w:pPr>
                  <w:r w:rsidRPr="003A7A1E">
                    <w:rPr>
                      <w:sz w:val="21"/>
                      <w:szCs w:val="21"/>
                    </w:rPr>
                    <w:t xml:space="preserve">FFS: The maximum value of </w:t>
                  </w:r>
                  <w:r w:rsidRPr="003A7A1E">
                    <w:rPr>
                      <w:i/>
                      <w:iCs/>
                      <w:sz w:val="21"/>
                      <w:szCs w:val="21"/>
                    </w:rPr>
                    <w:t>L</w:t>
                  </w:r>
                </w:p>
                <w:p w14:paraId="14853461" w14:textId="469AFCD2" w:rsidR="003A7A1E" w:rsidRPr="003A7A1E" w:rsidRDefault="003A7A1E" w:rsidP="003A7A1E">
                  <w:pPr>
                    <w:numPr>
                      <w:ilvl w:val="1"/>
                      <w:numId w:val="29"/>
                    </w:numPr>
                    <w:snapToGrid w:val="0"/>
                    <w:spacing w:after="120" w:line="252" w:lineRule="auto"/>
                    <w:jc w:val="both"/>
                    <w:rPr>
                      <w:sz w:val="21"/>
                      <w:szCs w:val="21"/>
                    </w:rPr>
                  </w:pPr>
                  <w:r w:rsidRPr="003A7A1E">
                    <w:rPr>
                      <w:sz w:val="21"/>
                      <w:szCs w:val="21"/>
                    </w:rPr>
                    <w:t xml:space="preserve">FFS: Solutions to error propagation issue if </w:t>
                  </w:r>
                  <w:r w:rsidRPr="003A7A1E">
                    <w:rPr>
                      <w:i/>
                      <w:iCs/>
                      <w:sz w:val="21"/>
                      <w:szCs w:val="21"/>
                    </w:rPr>
                    <w:t>L</w:t>
                  </w:r>
                  <w:r w:rsidRPr="003A7A1E">
                    <w:rPr>
                      <w:sz w:val="21"/>
                      <w:szCs w:val="21"/>
                    </w:rPr>
                    <w:t xml:space="preserve"> is longer than the maximum duration is to be discussed further.</w:t>
                  </w:r>
                </w:p>
                <w:p w14:paraId="55371BFE" w14:textId="77777777" w:rsidR="003A7A1E" w:rsidRPr="003A7A1E" w:rsidRDefault="003A7A1E" w:rsidP="003A7A1E">
                  <w:pPr>
                    <w:numPr>
                      <w:ilvl w:val="1"/>
                      <w:numId w:val="29"/>
                    </w:numPr>
                    <w:snapToGrid w:val="0"/>
                    <w:spacing w:after="120" w:line="252" w:lineRule="auto"/>
                    <w:jc w:val="both"/>
                    <w:rPr>
                      <w:sz w:val="21"/>
                      <w:szCs w:val="21"/>
                    </w:rPr>
                  </w:pPr>
                  <w:r w:rsidRPr="003A7A1E">
                    <w:rPr>
                      <w:sz w:val="21"/>
                      <w:szCs w:val="21"/>
                    </w:rPr>
                    <w:t xml:space="preserve">FFS: The window length </w:t>
                  </w:r>
                  <w:r w:rsidRPr="003A7A1E">
                    <w:rPr>
                      <w:i/>
                      <w:iCs/>
                      <w:sz w:val="21"/>
                      <w:szCs w:val="21"/>
                    </w:rPr>
                    <w:t>L</w:t>
                  </w:r>
                  <w:r w:rsidRPr="003A7A1E">
                    <w:rPr>
                      <w:sz w:val="21"/>
                      <w:szCs w:val="21"/>
                    </w:rPr>
                    <w:t xml:space="preserve"> is configured per UL BWP</w:t>
                  </w:r>
                </w:p>
                <w:p w14:paraId="3E39C64D" w14:textId="77777777" w:rsidR="003A7A1E" w:rsidRPr="003A7A1E" w:rsidRDefault="003A7A1E" w:rsidP="003A7A1E">
                  <w:pPr>
                    <w:numPr>
                      <w:ilvl w:val="0"/>
                      <w:numId w:val="29"/>
                    </w:numPr>
                    <w:snapToGrid w:val="0"/>
                    <w:spacing w:after="120" w:line="252" w:lineRule="auto"/>
                    <w:jc w:val="both"/>
                    <w:rPr>
                      <w:sz w:val="21"/>
                      <w:szCs w:val="21"/>
                    </w:rPr>
                  </w:pPr>
                  <w:r w:rsidRPr="003A7A1E">
                    <w:rPr>
                      <w:sz w:val="21"/>
                      <w:szCs w:val="21"/>
                    </w:rPr>
                    <w:t>The start of the first configured TDW is the first PUSCH transmission</w:t>
                  </w:r>
                </w:p>
                <w:p w14:paraId="49794872" w14:textId="77777777" w:rsidR="003A7A1E" w:rsidRPr="003A7A1E" w:rsidRDefault="003A7A1E" w:rsidP="003A7A1E">
                  <w:pPr>
                    <w:numPr>
                      <w:ilvl w:val="1"/>
                      <w:numId w:val="29"/>
                    </w:numPr>
                    <w:snapToGrid w:val="0"/>
                    <w:spacing w:after="120" w:line="252" w:lineRule="auto"/>
                    <w:jc w:val="both"/>
                    <w:rPr>
                      <w:sz w:val="21"/>
                      <w:szCs w:val="21"/>
                    </w:rPr>
                  </w:pPr>
                  <w:r w:rsidRPr="003A7A1E">
                    <w:rPr>
                      <w:sz w:val="21"/>
                      <w:szCs w:val="21"/>
                    </w:rPr>
                    <w:t>FFS: The first available slot/symbol, or the first physical slot/symbol for the first PUSCH transmission.</w:t>
                  </w:r>
                </w:p>
                <w:p w14:paraId="4CDD1A66" w14:textId="77777777" w:rsidR="003A7A1E" w:rsidRPr="003A7A1E" w:rsidRDefault="003A7A1E" w:rsidP="003A7A1E">
                  <w:pPr>
                    <w:numPr>
                      <w:ilvl w:val="0"/>
                      <w:numId w:val="29"/>
                    </w:numPr>
                    <w:snapToGrid w:val="0"/>
                    <w:spacing w:after="120" w:line="252" w:lineRule="auto"/>
                    <w:jc w:val="both"/>
                    <w:rPr>
                      <w:sz w:val="21"/>
                      <w:szCs w:val="21"/>
                    </w:rPr>
                  </w:pPr>
                  <w:r w:rsidRPr="003A7A1E">
                    <w:rPr>
                      <w:sz w:val="21"/>
                      <w:szCs w:val="21"/>
                    </w:rPr>
                    <w:t>The start of other configured TDWs can be implicitly determined prior to first repetition.</w:t>
                  </w:r>
                </w:p>
                <w:p w14:paraId="594AA4DA" w14:textId="77777777" w:rsidR="003A7A1E" w:rsidRPr="003A7A1E" w:rsidRDefault="003A7A1E" w:rsidP="003A7A1E">
                  <w:pPr>
                    <w:numPr>
                      <w:ilvl w:val="1"/>
                      <w:numId w:val="29"/>
                    </w:numPr>
                    <w:snapToGrid w:val="0"/>
                    <w:spacing w:after="120" w:line="252" w:lineRule="auto"/>
                    <w:jc w:val="both"/>
                    <w:rPr>
                      <w:sz w:val="21"/>
                      <w:szCs w:val="21"/>
                    </w:rPr>
                  </w:pPr>
                  <w:r w:rsidRPr="003A7A1E">
                    <w:rPr>
                      <w:sz w:val="21"/>
                      <w:szCs w:val="21"/>
                    </w:rPr>
                    <w:lastRenderedPageBreak/>
                    <w:t>FFS: The configured TDWs are consecutive for paired spectrum/SUL band</w:t>
                  </w:r>
                </w:p>
                <w:p w14:paraId="1FA32B52" w14:textId="77777777" w:rsidR="003A7A1E" w:rsidRPr="003A7A1E" w:rsidRDefault="003A7A1E" w:rsidP="003A7A1E">
                  <w:pPr>
                    <w:numPr>
                      <w:ilvl w:val="1"/>
                      <w:numId w:val="29"/>
                    </w:numPr>
                    <w:snapToGrid w:val="0"/>
                    <w:spacing w:after="120" w:line="252" w:lineRule="auto"/>
                    <w:jc w:val="both"/>
                    <w:rPr>
                      <w:sz w:val="21"/>
                      <w:szCs w:val="21"/>
                    </w:rPr>
                  </w:pPr>
                  <w:r w:rsidRPr="003A7A1E">
                    <w:rPr>
                      <w:sz w:val="21"/>
                      <w:szCs w:val="21"/>
                    </w:rPr>
                    <w:t>FFS: The start of the configured TDWs for unpaired spectrum is implicitly determined based on semi-static DL/UL configuration.</w:t>
                  </w:r>
                </w:p>
                <w:p w14:paraId="51C1A063" w14:textId="77777777" w:rsidR="003A7A1E" w:rsidRPr="003A7A1E" w:rsidRDefault="003A7A1E" w:rsidP="003A7A1E">
                  <w:pPr>
                    <w:numPr>
                      <w:ilvl w:val="0"/>
                      <w:numId w:val="29"/>
                    </w:numPr>
                    <w:snapToGrid w:val="0"/>
                    <w:spacing w:after="120" w:line="252" w:lineRule="auto"/>
                    <w:jc w:val="both"/>
                    <w:rPr>
                      <w:sz w:val="21"/>
                      <w:szCs w:val="21"/>
                    </w:rPr>
                  </w:pPr>
                  <w:r w:rsidRPr="003A7A1E">
                    <w:rPr>
                      <w:sz w:val="21"/>
                      <w:szCs w:val="21"/>
                    </w:rPr>
                    <w:t>The end of the last configured TDW is the end of the last PUSCH transmission.</w:t>
                  </w:r>
                </w:p>
                <w:p w14:paraId="0C32C744" w14:textId="77777777" w:rsidR="003A7A1E" w:rsidRPr="003A7A1E" w:rsidRDefault="003A7A1E" w:rsidP="003A7A1E">
                  <w:pPr>
                    <w:numPr>
                      <w:ilvl w:val="1"/>
                      <w:numId w:val="29"/>
                    </w:numPr>
                    <w:snapToGrid w:val="0"/>
                    <w:spacing w:after="120" w:line="252" w:lineRule="auto"/>
                    <w:jc w:val="both"/>
                    <w:rPr>
                      <w:sz w:val="21"/>
                      <w:szCs w:val="21"/>
                    </w:rPr>
                  </w:pPr>
                  <w:r w:rsidRPr="003A7A1E">
                    <w:rPr>
                      <w:sz w:val="21"/>
                      <w:szCs w:val="21"/>
                    </w:rPr>
                    <w:t>FFS: The end of the configured TDW is the last available slot/symbol, or the last physical slot/symbol for the last PUSCH transmission.</w:t>
                  </w:r>
                </w:p>
                <w:p w14:paraId="13133241" w14:textId="77777777" w:rsidR="003A7A1E" w:rsidRPr="003A7A1E" w:rsidRDefault="003A7A1E" w:rsidP="003A7A1E">
                  <w:pPr>
                    <w:numPr>
                      <w:ilvl w:val="0"/>
                      <w:numId w:val="29"/>
                    </w:numPr>
                    <w:snapToGrid w:val="0"/>
                    <w:spacing w:after="120" w:line="252" w:lineRule="auto"/>
                    <w:jc w:val="both"/>
                    <w:rPr>
                      <w:sz w:val="21"/>
                      <w:szCs w:val="21"/>
                    </w:rPr>
                  </w:pPr>
                  <w:r w:rsidRPr="003A7A1E">
                    <w:rPr>
                      <w:sz w:val="21"/>
                      <w:szCs w:val="21"/>
                    </w:rPr>
                    <w:t>Within one configured TDW, one or multiple actual TDWs can be implicitly determined:</w:t>
                  </w:r>
                </w:p>
                <w:p w14:paraId="627BA414" w14:textId="77777777" w:rsidR="003A7A1E" w:rsidRPr="003A7A1E" w:rsidRDefault="003A7A1E" w:rsidP="003A7A1E">
                  <w:pPr>
                    <w:numPr>
                      <w:ilvl w:val="1"/>
                      <w:numId w:val="29"/>
                    </w:numPr>
                    <w:snapToGrid w:val="0"/>
                    <w:spacing w:after="120" w:line="252" w:lineRule="auto"/>
                    <w:jc w:val="both"/>
                    <w:rPr>
                      <w:sz w:val="21"/>
                      <w:szCs w:val="21"/>
                    </w:rPr>
                  </w:pPr>
                  <w:r w:rsidRPr="003A7A1E">
                    <w:rPr>
                      <w:sz w:val="21"/>
                      <w:szCs w:val="21"/>
                    </w:rPr>
                    <w:t>The start of the first actual TDW is the first PUSCH transmission within the configured TDW.</w:t>
                  </w:r>
                </w:p>
                <w:p w14:paraId="3C528382" w14:textId="77777777" w:rsidR="003A7A1E" w:rsidRPr="003A7A1E" w:rsidRDefault="003A7A1E" w:rsidP="003A7A1E">
                  <w:pPr>
                    <w:numPr>
                      <w:ilvl w:val="2"/>
                      <w:numId w:val="29"/>
                    </w:numPr>
                    <w:snapToGrid w:val="0"/>
                    <w:spacing w:after="120" w:line="252" w:lineRule="auto"/>
                    <w:jc w:val="both"/>
                    <w:rPr>
                      <w:sz w:val="21"/>
                      <w:szCs w:val="21"/>
                    </w:rPr>
                  </w:pPr>
                  <w:r w:rsidRPr="003A7A1E">
                    <w:rPr>
                      <w:sz w:val="21"/>
                      <w:szCs w:val="21"/>
                    </w:rPr>
                    <w:t>FFS: The first available slot/symbol, or the first physical slot/symbol for the first PUSCH transmission.</w:t>
                  </w:r>
                </w:p>
                <w:p w14:paraId="448BEFD0" w14:textId="77777777" w:rsidR="003A7A1E" w:rsidRPr="003A7A1E" w:rsidRDefault="003A7A1E" w:rsidP="003A7A1E">
                  <w:pPr>
                    <w:numPr>
                      <w:ilvl w:val="1"/>
                      <w:numId w:val="29"/>
                    </w:numPr>
                    <w:snapToGrid w:val="0"/>
                    <w:spacing w:after="120" w:line="252" w:lineRule="auto"/>
                    <w:jc w:val="both"/>
                    <w:rPr>
                      <w:sz w:val="21"/>
                      <w:szCs w:val="21"/>
                    </w:rPr>
                  </w:pPr>
                  <w:r w:rsidRPr="003A7A1E">
                    <w:rPr>
                      <w:sz w:val="21"/>
                      <w:szCs w:val="21"/>
                    </w:rPr>
                    <w:t>After one actual TDW starts, UE is expected to maintain the power consistency and phase continuity until one of the following conditions is met, then the actual TDW is ended.</w:t>
                  </w:r>
                </w:p>
                <w:p w14:paraId="477BD362" w14:textId="77777777" w:rsidR="003A7A1E" w:rsidRPr="003A7A1E" w:rsidRDefault="003A7A1E" w:rsidP="003A7A1E">
                  <w:pPr>
                    <w:numPr>
                      <w:ilvl w:val="2"/>
                      <w:numId w:val="29"/>
                    </w:numPr>
                    <w:snapToGrid w:val="0"/>
                    <w:spacing w:after="120" w:line="252" w:lineRule="auto"/>
                    <w:jc w:val="both"/>
                    <w:rPr>
                      <w:sz w:val="21"/>
                      <w:szCs w:val="21"/>
                    </w:rPr>
                  </w:pPr>
                  <w:r w:rsidRPr="003A7A1E">
                    <w:rPr>
                      <w:sz w:val="21"/>
                      <w:szCs w:val="21"/>
                    </w:rPr>
                    <w:t>The actual TDW reaches the end of the last PUSCH transmission within the configured TDW.</w:t>
                  </w:r>
                </w:p>
                <w:p w14:paraId="746921C0" w14:textId="77777777" w:rsidR="003A7A1E" w:rsidRPr="003A7A1E" w:rsidRDefault="003A7A1E" w:rsidP="003A7A1E">
                  <w:pPr>
                    <w:numPr>
                      <w:ilvl w:val="3"/>
                      <w:numId w:val="29"/>
                    </w:numPr>
                    <w:snapToGrid w:val="0"/>
                    <w:spacing w:after="120" w:line="252" w:lineRule="auto"/>
                    <w:jc w:val="both"/>
                    <w:rPr>
                      <w:sz w:val="21"/>
                      <w:szCs w:val="21"/>
                    </w:rPr>
                  </w:pPr>
                  <w:r w:rsidRPr="003A7A1E">
                    <w:rPr>
                      <w:sz w:val="21"/>
                      <w:szCs w:val="21"/>
                    </w:rPr>
                    <w:t>FFS: The end of the actual TDW is the last available slot/symbol, or the last physical slot/symbol for the last PUSCH transmission.</w:t>
                  </w:r>
                </w:p>
                <w:p w14:paraId="0040CA13" w14:textId="77777777" w:rsidR="003A7A1E" w:rsidRPr="003A7A1E" w:rsidRDefault="003A7A1E" w:rsidP="003A7A1E">
                  <w:pPr>
                    <w:numPr>
                      <w:ilvl w:val="2"/>
                      <w:numId w:val="29"/>
                    </w:numPr>
                    <w:snapToGrid w:val="0"/>
                    <w:spacing w:after="120" w:line="252" w:lineRule="auto"/>
                    <w:jc w:val="both"/>
                    <w:rPr>
                      <w:sz w:val="21"/>
                      <w:szCs w:val="21"/>
                    </w:rPr>
                  </w:pPr>
                  <w:r w:rsidRPr="003A7A1E">
                    <w:rPr>
                      <w:sz w:val="21"/>
                      <w:szCs w:val="21"/>
                    </w:rPr>
                    <w:t>An event occurs that violates power consistency and phase continuity</w:t>
                  </w:r>
                </w:p>
                <w:p w14:paraId="5094F02D" w14:textId="77777777" w:rsidR="003A7A1E" w:rsidRPr="003A7A1E" w:rsidRDefault="003A7A1E" w:rsidP="003A7A1E">
                  <w:pPr>
                    <w:numPr>
                      <w:ilvl w:val="3"/>
                      <w:numId w:val="29"/>
                    </w:numPr>
                    <w:snapToGrid w:val="0"/>
                    <w:spacing w:after="120" w:line="252" w:lineRule="auto"/>
                    <w:jc w:val="both"/>
                    <w:rPr>
                      <w:sz w:val="21"/>
                      <w:szCs w:val="21"/>
                    </w:rPr>
                  </w:pPr>
                  <w:r w:rsidRPr="003A7A1E">
                    <w:rPr>
                      <w:sz w:val="21"/>
                      <w:szCs w:val="21"/>
                    </w:rPr>
                    <w:t>FFS: The events may include e.g., a DL slot based on DL/UL configuration for unpaired spectrum, the actual TDW reaches the maximum duration, DL reception/monitoring occasion for unpaired spectrum, high priority transmission, frequency hopping, precoder cycling.</w:t>
                  </w:r>
                </w:p>
                <w:p w14:paraId="7CCECDCE" w14:textId="77777777" w:rsidR="003A7A1E" w:rsidRPr="003A7A1E" w:rsidRDefault="003A7A1E" w:rsidP="003A7A1E">
                  <w:pPr>
                    <w:numPr>
                      <w:ilvl w:val="3"/>
                      <w:numId w:val="29"/>
                    </w:numPr>
                    <w:snapToGrid w:val="0"/>
                    <w:spacing w:after="120" w:line="252" w:lineRule="auto"/>
                    <w:jc w:val="both"/>
                    <w:rPr>
                      <w:sz w:val="21"/>
                      <w:szCs w:val="21"/>
                    </w:rPr>
                  </w:pPr>
                  <w:r w:rsidRPr="003A7A1E">
                    <w:rPr>
                      <w:sz w:val="21"/>
                      <w:szCs w:val="21"/>
                    </w:rPr>
                    <w:t>FFS: The end of the actual TDW is the last available slot/symbol of the PUSCH transmission right before an event such that the power consistency and phase continuity are violated.</w:t>
                  </w:r>
                </w:p>
                <w:p w14:paraId="24BA4FCC" w14:textId="77777777" w:rsidR="003A7A1E" w:rsidRPr="003A7A1E" w:rsidRDefault="003A7A1E" w:rsidP="003A7A1E">
                  <w:pPr>
                    <w:numPr>
                      <w:ilvl w:val="1"/>
                      <w:numId w:val="29"/>
                    </w:numPr>
                    <w:snapToGrid w:val="0"/>
                    <w:spacing w:after="120" w:line="252" w:lineRule="auto"/>
                    <w:jc w:val="both"/>
                    <w:rPr>
                      <w:sz w:val="21"/>
                      <w:szCs w:val="21"/>
                      <w:highlight w:val="yellow"/>
                    </w:rPr>
                  </w:pPr>
                  <w:r w:rsidRPr="003A7A1E">
                    <w:rPr>
                      <w:sz w:val="21"/>
                      <w:szCs w:val="21"/>
                      <w:highlight w:val="yellow"/>
                    </w:rPr>
                    <w:t>If the power consistency and phase continuity are violated due to an event, whether a new actual TDW is created is subject to UE capability of supporting restarting DMRS bundling.</w:t>
                  </w:r>
                </w:p>
                <w:p w14:paraId="1A94179C" w14:textId="77777777" w:rsidR="003A7A1E" w:rsidRPr="003A7A1E" w:rsidRDefault="003A7A1E" w:rsidP="003A7A1E">
                  <w:pPr>
                    <w:numPr>
                      <w:ilvl w:val="2"/>
                      <w:numId w:val="29"/>
                    </w:numPr>
                    <w:snapToGrid w:val="0"/>
                    <w:spacing w:after="120" w:line="252" w:lineRule="auto"/>
                    <w:jc w:val="both"/>
                    <w:rPr>
                      <w:sz w:val="21"/>
                      <w:szCs w:val="21"/>
                    </w:rPr>
                  </w:pPr>
                  <w:r w:rsidRPr="003A7A1E">
                    <w:rPr>
                      <w:sz w:val="21"/>
                      <w:szCs w:val="21"/>
                    </w:rPr>
                    <w:t xml:space="preserve">If UE is capable of restarting DM-RS bundling, one new actual TDW is created after the event, </w:t>
                  </w:r>
                </w:p>
                <w:p w14:paraId="3E5A6EA0" w14:textId="77777777" w:rsidR="003A7A1E" w:rsidRPr="003A7A1E" w:rsidRDefault="003A7A1E" w:rsidP="003A7A1E">
                  <w:pPr>
                    <w:numPr>
                      <w:ilvl w:val="3"/>
                      <w:numId w:val="29"/>
                    </w:numPr>
                    <w:snapToGrid w:val="0"/>
                    <w:spacing w:after="120" w:line="252" w:lineRule="auto"/>
                    <w:jc w:val="both"/>
                    <w:rPr>
                      <w:rFonts w:ascii="Calibri" w:hAnsi="Calibri" w:cs="Calibri"/>
                      <w:sz w:val="21"/>
                      <w:szCs w:val="21"/>
                    </w:rPr>
                  </w:pPr>
                  <w:r w:rsidRPr="003A7A1E">
                    <w:rPr>
                      <w:sz w:val="21"/>
                      <w:szCs w:val="21"/>
                    </w:rPr>
                    <w:t xml:space="preserve">FFS: The start of the new actual TDW is the first available slot/symbol for PUSCH transmission after the </w:t>
                  </w:r>
                  <w:r w:rsidRPr="003A7A1E">
                    <w:rPr>
                      <w:sz w:val="21"/>
                      <w:szCs w:val="21"/>
                      <w:lang w:eastAsia="ko-KR"/>
                    </w:rPr>
                    <w:t>event</w:t>
                  </w:r>
                  <w:r w:rsidRPr="003A7A1E">
                    <w:rPr>
                      <w:sz w:val="21"/>
                      <w:szCs w:val="21"/>
                    </w:rPr>
                    <w:t>.</w:t>
                  </w:r>
                </w:p>
                <w:p w14:paraId="2E52B762" w14:textId="77777777" w:rsidR="003A7A1E" w:rsidRPr="003A7A1E" w:rsidRDefault="003A7A1E" w:rsidP="003A7A1E">
                  <w:pPr>
                    <w:numPr>
                      <w:ilvl w:val="2"/>
                      <w:numId w:val="29"/>
                    </w:numPr>
                    <w:snapToGrid w:val="0"/>
                    <w:spacing w:after="120" w:line="252" w:lineRule="auto"/>
                    <w:jc w:val="both"/>
                    <w:rPr>
                      <w:sz w:val="21"/>
                      <w:szCs w:val="21"/>
                      <w:highlight w:val="yellow"/>
                    </w:rPr>
                  </w:pPr>
                  <w:r w:rsidRPr="003A7A1E">
                    <w:rPr>
                      <w:sz w:val="21"/>
                      <w:szCs w:val="21"/>
                      <w:highlight w:val="yellow"/>
                    </w:rPr>
                    <w:t>If UE is not capable of restarting DM-RS bundling, no new actual TDW is created until the end of the configured TDW.</w:t>
                  </w:r>
                </w:p>
                <w:p w14:paraId="3651FA7A" w14:textId="77777777" w:rsidR="003A7A1E" w:rsidRPr="003A7A1E" w:rsidRDefault="003A7A1E" w:rsidP="003A7A1E">
                  <w:pPr>
                    <w:numPr>
                      <w:ilvl w:val="2"/>
                      <w:numId w:val="29"/>
                    </w:numPr>
                    <w:snapToGrid w:val="0"/>
                    <w:spacing w:after="120" w:line="252" w:lineRule="auto"/>
                    <w:jc w:val="both"/>
                    <w:rPr>
                      <w:sz w:val="21"/>
                      <w:szCs w:val="21"/>
                    </w:rPr>
                  </w:pPr>
                  <w:r w:rsidRPr="003A7A1E">
                    <w:rPr>
                      <w:sz w:val="21"/>
                      <w:szCs w:val="21"/>
                    </w:rPr>
                    <w:t>FFS: UE capability of restarting DMRS bundling is applied only to dynamic event or not</w:t>
                  </w:r>
                </w:p>
                <w:p w14:paraId="0202E5ED" w14:textId="77777777" w:rsidR="003A7A1E" w:rsidRPr="003A7A1E" w:rsidRDefault="003A7A1E" w:rsidP="003A7A1E">
                  <w:pPr>
                    <w:snapToGrid w:val="0"/>
                    <w:spacing w:after="120" w:line="252" w:lineRule="auto"/>
                    <w:rPr>
                      <w:sz w:val="21"/>
                      <w:szCs w:val="21"/>
                    </w:rPr>
                  </w:pPr>
                  <w:r w:rsidRPr="003A7A1E">
                    <w:rPr>
                      <w:sz w:val="21"/>
                      <w:szCs w:val="21"/>
                    </w:rPr>
                    <w:t xml:space="preserve">Note 1: A ‘configured TDW’ refers to a time domain window whose length can be configured to ‘L’ and whose start and end is determined as described above. </w:t>
                  </w:r>
                </w:p>
                <w:p w14:paraId="443B7323" w14:textId="77777777" w:rsidR="003A7A1E" w:rsidRPr="003A7A1E" w:rsidRDefault="003A7A1E" w:rsidP="003A7A1E">
                  <w:pPr>
                    <w:snapToGrid w:val="0"/>
                    <w:spacing w:after="120" w:line="252" w:lineRule="auto"/>
                    <w:rPr>
                      <w:sz w:val="21"/>
                      <w:szCs w:val="21"/>
                    </w:rPr>
                  </w:pPr>
                  <w:r w:rsidRPr="003A7A1E">
                    <w:rPr>
                      <w:sz w:val="21"/>
                      <w:szCs w:val="21"/>
                    </w:rPr>
                    <w:t>Note 2: An ‘actual TDW’ refers to a time domain window during whose entire duration the DM-RS bundling is actually applied. An ‘actual TDW’ duration is always less than or equal to the ‘configure TDW’ duration.</w:t>
                  </w:r>
                </w:p>
                <w:p w14:paraId="37BCEED8" w14:textId="77777777" w:rsidR="003A7A1E" w:rsidRPr="003A7A1E" w:rsidRDefault="003A7A1E" w:rsidP="003A7A1E">
                  <w:pPr>
                    <w:rPr>
                      <w:rFonts w:eastAsia="SimSun"/>
                      <w:b/>
                      <w:sz w:val="21"/>
                      <w:szCs w:val="21"/>
                    </w:rPr>
                  </w:pPr>
                  <w:r w:rsidRPr="003A7A1E">
                    <w:rPr>
                      <w:sz w:val="21"/>
                      <w:szCs w:val="21"/>
                    </w:rPr>
                    <w:t>Note 3: Whether the terms ‘configured TDW’ and ‘actual TDW’ are revised to other terms and if such terminology is used in specifications is to be further discussed.</w:t>
                  </w:r>
                </w:p>
              </w:tc>
            </w:tr>
          </w:tbl>
          <w:p w14:paraId="2678E473" w14:textId="1635F84D" w:rsidR="003A7A1E" w:rsidRPr="003A7A1E" w:rsidRDefault="003A7A1E" w:rsidP="003A7A1E">
            <w:pPr>
              <w:widowControl w:val="0"/>
              <w:spacing w:before="156" w:after="120" w:line="259" w:lineRule="auto"/>
              <w:jc w:val="both"/>
              <w:rPr>
                <w:rFonts w:eastAsia="SimSun"/>
                <w:kern w:val="2"/>
                <w:sz w:val="21"/>
                <w:szCs w:val="21"/>
                <w:lang w:eastAsia="zh-CN"/>
              </w:rPr>
            </w:pPr>
          </w:p>
        </w:tc>
      </w:tr>
    </w:tbl>
    <w:p w14:paraId="62C20DC2" w14:textId="0A8F90BE" w:rsidR="00F211C7" w:rsidRDefault="003A7A1E" w:rsidP="00681E82">
      <w:pPr>
        <w:spacing w:before="240"/>
        <w:rPr>
          <w:rFonts w:eastAsiaTheme="minorEastAsia"/>
          <w:sz w:val="22"/>
          <w:szCs w:val="22"/>
          <w:lang w:val="en-US"/>
        </w:rPr>
      </w:pPr>
      <w:r>
        <w:rPr>
          <w:rFonts w:eastAsiaTheme="minorEastAsia"/>
          <w:sz w:val="22"/>
          <w:szCs w:val="22"/>
          <w:lang w:val="en-US"/>
        </w:rPr>
        <w:lastRenderedPageBreak/>
        <w:t xml:space="preserve">The first agreement explicitly states that it is mandatory to restart DMRS bundling subject to nominal TDW. However, the agreement was made without considering the scenarios where semi-static events </w:t>
      </w:r>
      <w:r w:rsidR="00122AF0">
        <w:rPr>
          <w:rFonts w:eastAsiaTheme="minorEastAsia"/>
          <w:sz w:val="22"/>
          <w:szCs w:val="22"/>
          <w:lang w:val="en-US"/>
        </w:rPr>
        <w:t xml:space="preserve">occur </w:t>
      </w:r>
      <w:r>
        <w:rPr>
          <w:rFonts w:eastAsiaTheme="minorEastAsia"/>
          <w:sz w:val="22"/>
          <w:szCs w:val="22"/>
          <w:lang w:val="en-US"/>
        </w:rPr>
        <w:t>after dynamic events in one nominal TDW. Also, the second agreement states no new actual TDW is created until the end of the nominal TDW</w:t>
      </w:r>
      <w:r w:rsidR="00122AF0">
        <w:rPr>
          <w:rFonts w:eastAsiaTheme="minorEastAsia"/>
          <w:sz w:val="22"/>
          <w:szCs w:val="22"/>
          <w:lang w:val="en-US"/>
        </w:rPr>
        <w:t xml:space="preserve"> according to UE capability</w:t>
      </w:r>
      <w:r>
        <w:rPr>
          <w:rFonts w:eastAsiaTheme="minorEastAsia"/>
          <w:sz w:val="22"/>
          <w:szCs w:val="22"/>
          <w:lang w:val="en-US"/>
        </w:rPr>
        <w:t>. Considering these aspects, it is not fair to mandate UE to restart DMRS bundling subject to semi-static events even after dynamic events within a nominal TDW. On the other hand, the difficulties of UE to restart DMRS bundling subject to dynamic events and semi-static events are different. Unlike dynamic events, semi-static event</w:t>
      </w:r>
      <w:r w:rsidR="00122AF0">
        <w:rPr>
          <w:rFonts w:eastAsiaTheme="minorEastAsia"/>
          <w:sz w:val="22"/>
          <w:szCs w:val="22"/>
          <w:lang w:val="en-US"/>
        </w:rPr>
        <w:t xml:space="preserve"> timing</w:t>
      </w:r>
      <w:r>
        <w:rPr>
          <w:rFonts w:eastAsiaTheme="minorEastAsia"/>
          <w:sz w:val="22"/>
          <w:szCs w:val="22"/>
          <w:lang w:val="en-US"/>
        </w:rPr>
        <w:t xml:space="preserve"> can be known when UE is scheduled to transmit PUSCH with DMRS bundling. If UE </w:t>
      </w:r>
      <w:r w:rsidR="00122AF0">
        <w:rPr>
          <w:rFonts w:eastAsiaTheme="minorEastAsia"/>
          <w:sz w:val="22"/>
          <w:szCs w:val="22"/>
          <w:lang w:val="en-US"/>
        </w:rPr>
        <w:t>is prohibited to</w:t>
      </w:r>
      <w:r>
        <w:rPr>
          <w:rFonts w:eastAsiaTheme="minorEastAsia"/>
          <w:sz w:val="22"/>
          <w:szCs w:val="22"/>
          <w:lang w:val="en-US"/>
        </w:rPr>
        <w:t xml:space="preserve"> restart DMRS bundling subject to semi-static event</w:t>
      </w:r>
      <w:r w:rsidR="00122AF0">
        <w:rPr>
          <w:rFonts w:eastAsiaTheme="minorEastAsia"/>
          <w:sz w:val="22"/>
          <w:szCs w:val="22"/>
          <w:lang w:val="en-US"/>
        </w:rPr>
        <w:t>s</w:t>
      </w:r>
      <w:r>
        <w:rPr>
          <w:rFonts w:eastAsiaTheme="minorEastAsia"/>
          <w:sz w:val="22"/>
          <w:szCs w:val="22"/>
          <w:lang w:val="en-US"/>
        </w:rPr>
        <w:t xml:space="preserve"> </w:t>
      </w:r>
      <w:r w:rsidR="00122AF0">
        <w:rPr>
          <w:rFonts w:eastAsiaTheme="minorEastAsia"/>
          <w:sz w:val="22"/>
          <w:szCs w:val="22"/>
          <w:lang w:val="en-US"/>
        </w:rPr>
        <w:t xml:space="preserve">after </w:t>
      </w:r>
      <w:r w:rsidR="00122AF0">
        <w:rPr>
          <w:rFonts w:eastAsiaTheme="minorEastAsia"/>
          <w:sz w:val="22"/>
          <w:szCs w:val="22"/>
          <w:lang w:val="en-US"/>
        </w:rPr>
        <w:lastRenderedPageBreak/>
        <w:t xml:space="preserve">dynamic events </w:t>
      </w:r>
      <w:r>
        <w:rPr>
          <w:rFonts w:eastAsiaTheme="minorEastAsia"/>
          <w:sz w:val="22"/>
          <w:szCs w:val="22"/>
          <w:lang w:val="en-US"/>
        </w:rPr>
        <w:t xml:space="preserve">due to the lack of capability </w:t>
      </w:r>
      <w:r w:rsidR="00EF0845">
        <w:rPr>
          <w:rFonts w:eastAsiaTheme="minorEastAsia"/>
          <w:sz w:val="22"/>
          <w:szCs w:val="22"/>
          <w:lang w:val="en-US"/>
        </w:rPr>
        <w:t xml:space="preserve">for </w:t>
      </w:r>
      <w:r>
        <w:rPr>
          <w:rFonts w:eastAsiaTheme="minorEastAsia"/>
          <w:sz w:val="22"/>
          <w:szCs w:val="22"/>
          <w:lang w:val="en-US"/>
        </w:rPr>
        <w:t xml:space="preserve">restarting </w:t>
      </w:r>
      <w:r w:rsidR="00EF0845">
        <w:rPr>
          <w:rFonts w:eastAsiaTheme="minorEastAsia"/>
          <w:sz w:val="22"/>
          <w:szCs w:val="22"/>
          <w:lang w:val="en-US"/>
        </w:rPr>
        <w:t xml:space="preserve">DMRS bundling </w:t>
      </w:r>
      <w:r>
        <w:rPr>
          <w:rFonts w:eastAsiaTheme="minorEastAsia"/>
          <w:sz w:val="22"/>
          <w:szCs w:val="22"/>
          <w:lang w:val="en-US"/>
        </w:rPr>
        <w:t xml:space="preserve">subject to dynamic events, the duration applied to DMRS bundling </w:t>
      </w:r>
      <w:r w:rsidR="00336E4B">
        <w:rPr>
          <w:rFonts w:eastAsiaTheme="minorEastAsia"/>
          <w:sz w:val="22"/>
          <w:szCs w:val="22"/>
          <w:lang w:val="en-US"/>
        </w:rPr>
        <w:t>would be</w:t>
      </w:r>
      <w:r>
        <w:rPr>
          <w:rFonts w:eastAsiaTheme="minorEastAsia"/>
          <w:sz w:val="22"/>
          <w:szCs w:val="22"/>
          <w:lang w:val="en-US"/>
        </w:rPr>
        <w:t xml:space="preserve"> unnecessarily short</w:t>
      </w:r>
      <w:r w:rsidR="00336E4B">
        <w:rPr>
          <w:rFonts w:eastAsiaTheme="minorEastAsia"/>
          <w:sz w:val="22"/>
          <w:szCs w:val="22"/>
          <w:lang w:val="en-US"/>
        </w:rPr>
        <w:t>ened</w:t>
      </w:r>
      <w:r>
        <w:rPr>
          <w:rFonts w:eastAsiaTheme="minorEastAsia"/>
          <w:sz w:val="22"/>
          <w:szCs w:val="22"/>
          <w:lang w:val="en-US"/>
        </w:rPr>
        <w:t xml:space="preserve">. To avoid the loss of coverage performance gain, it is reasonable to introduce </w:t>
      </w:r>
      <w:r w:rsidR="002C12EE">
        <w:rPr>
          <w:rFonts w:eastAsiaTheme="minorEastAsia" w:hint="eastAsia"/>
          <w:sz w:val="22"/>
          <w:szCs w:val="22"/>
          <w:lang w:val="en-US"/>
        </w:rPr>
        <w:t>s</w:t>
      </w:r>
      <w:r w:rsidR="002C12EE">
        <w:rPr>
          <w:rFonts w:eastAsiaTheme="minorEastAsia"/>
          <w:sz w:val="22"/>
          <w:szCs w:val="22"/>
          <w:lang w:val="en-US"/>
        </w:rPr>
        <w:t xml:space="preserve">eparate </w:t>
      </w:r>
      <w:r w:rsidR="00681E82">
        <w:rPr>
          <w:rFonts w:eastAsiaTheme="minorEastAsia"/>
          <w:sz w:val="22"/>
          <w:szCs w:val="22"/>
          <w:lang w:val="en-US"/>
        </w:rPr>
        <w:t>UE capabilit</w:t>
      </w:r>
      <w:r w:rsidR="002C12EE">
        <w:rPr>
          <w:rFonts w:eastAsiaTheme="minorEastAsia"/>
          <w:sz w:val="22"/>
          <w:szCs w:val="22"/>
          <w:lang w:val="en-US"/>
        </w:rPr>
        <w:t>ies</w:t>
      </w:r>
      <w:r w:rsidR="00681E82">
        <w:rPr>
          <w:rFonts w:eastAsiaTheme="minorEastAsia"/>
          <w:sz w:val="22"/>
          <w:szCs w:val="22"/>
          <w:lang w:val="en-US"/>
        </w:rPr>
        <w:t xml:space="preserve"> </w:t>
      </w:r>
      <w:r w:rsidR="002C12EE">
        <w:rPr>
          <w:rFonts w:eastAsiaTheme="minorEastAsia"/>
          <w:sz w:val="22"/>
        </w:rPr>
        <w:t>that</w:t>
      </w:r>
      <w:r w:rsidR="00681E82">
        <w:rPr>
          <w:rFonts w:eastAsiaTheme="minorEastAsia"/>
          <w:sz w:val="22"/>
        </w:rPr>
        <w:t xml:space="preserve"> correspond to different implementation difficulties as follows.</w:t>
      </w:r>
    </w:p>
    <w:p w14:paraId="0AF72AF4" w14:textId="03EF07EF" w:rsidR="00F211C7" w:rsidRDefault="00F211C7" w:rsidP="00F211C7">
      <w:pPr>
        <w:rPr>
          <w:rFonts w:eastAsiaTheme="minorEastAsia"/>
          <w:sz w:val="22"/>
          <w:szCs w:val="22"/>
          <w:lang w:val="en-US"/>
        </w:rPr>
      </w:pPr>
      <w:r>
        <w:rPr>
          <w:rFonts w:eastAsiaTheme="minorEastAsia" w:hint="eastAsia"/>
          <w:sz w:val="22"/>
          <w:szCs w:val="22"/>
          <w:lang w:val="en-US"/>
        </w:rPr>
        <w:t>・</w:t>
      </w:r>
      <w:r>
        <w:rPr>
          <w:rFonts w:eastAsiaTheme="minorEastAsia"/>
          <w:sz w:val="22"/>
          <w:szCs w:val="22"/>
          <w:lang w:val="en-US"/>
        </w:rPr>
        <w:t xml:space="preserve">UE </w:t>
      </w:r>
      <w:r w:rsidR="002C12EE">
        <w:rPr>
          <w:rFonts w:eastAsiaTheme="minorEastAsia"/>
          <w:sz w:val="22"/>
          <w:szCs w:val="22"/>
          <w:lang w:val="en-US"/>
        </w:rPr>
        <w:t xml:space="preserve">with </w:t>
      </w:r>
      <w:r>
        <w:rPr>
          <w:rFonts w:eastAsiaTheme="minorEastAsia"/>
          <w:sz w:val="22"/>
          <w:szCs w:val="22"/>
          <w:lang w:val="en-US"/>
        </w:rPr>
        <w:t>capability 1</w:t>
      </w:r>
      <w:r w:rsidR="006547A3">
        <w:rPr>
          <w:rFonts w:eastAsiaTheme="minorEastAsia"/>
          <w:sz w:val="22"/>
          <w:szCs w:val="22"/>
          <w:lang w:val="en-US"/>
        </w:rPr>
        <w:t xml:space="preserve"> (new capability)</w:t>
      </w:r>
      <w:r>
        <w:rPr>
          <w:rFonts w:eastAsiaTheme="minorEastAsia"/>
          <w:sz w:val="22"/>
          <w:szCs w:val="22"/>
          <w:lang w:val="en-US"/>
        </w:rPr>
        <w:t>: UE has the ability to restart DMRS bundling subject to semi-static events, even when a dynamic event is precedent or overlapping with the corresponding semi-static event.</w:t>
      </w:r>
    </w:p>
    <w:p w14:paraId="473777E1" w14:textId="70FA2F92" w:rsidR="00F211C7" w:rsidRDefault="00F211C7" w:rsidP="00F211C7">
      <w:pPr>
        <w:rPr>
          <w:rFonts w:eastAsiaTheme="minorEastAsia"/>
          <w:sz w:val="22"/>
          <w:szCs w:val="22"/>
          <w:lang w:val="en-US"/>
        </w:rPr>
      </w:pPr>
      <w:r>
        <w:rPr>
          <w:rFonts w:eastAsiaTheme="minorEastAsia" w:hint="eastAsia"/>
          <w:sz w:val="22"/>
          <w:szCs w:val="22"/>
          <w:lang w:val="en-US"/>
        </w:rPr>
        <w:t>・</w:t>
      </w:r>
      <w:r>
        <w:rPr>
          <w:rFonts w:eastAsiaTheme="minorEastAsia"/>
          <w:sz w:val="22"/>
          <w:szCs w:val="22"/>
          <w:lang w:val="en-US"/>
        </w:rPr>
        <w:t xml:space="preserve">UE </w:t>
      </w:r>
      <w:r w:rsidR="002C12EE">
        <w:rPr>
          <w:rFonts w:eastAsiaTheme="minorEastAsia"/>
          <w:sz w:val="22"/>
          <w:szCs w:val="22"/>
          <w:lang w:val="en-US"/>
        </w:rPr>
        <w:t xml:space="preserve">with </w:t>
      </w:r>
      <w:r>
        <w:rPr>
          <w:rFonts w:eastAsiaTheme="minorEastAsia"/>
          <w:sz w:val="22"/>
          <w:szCs w:val="22"/>
          <w:lang w:val="en-US"/>
        </w:rPr>
        <w:t>capability 2</w:t>
      </w:r>
      <w:r w:rsidR="006547A3">
        <w:rPr>
          <w:rFonts w:eastAsiaTheme="minorEastAsia"/>
          <w:sz w:val="22"/>
          <w:szCs w:val="22"/>
          <w:lang w:val="en-US"/>
        </w:rPr>
        <w:t xml:space="preserve"> (FG30-4g)</w:t>
      </w:r>
      <w:r>
        <w:rPr>
          <w:rFonts w:eastAsiaTheme="minorEastAsia"/>
          <w:sz w:val="22"/>
          <w:szCs w:val="22"/>
          <w:lang w:val="en-US"/>
        </w:rPr>
        <w:t>: UE has the ability to restart DMRS bundling subject to semi-static events or dynamic events</w:t>
      </w:r>
    </w:p>
    <w:p w14:paraId="0C906935" w14:textId="5A3C561A" w:rsidR="00F211C7" w:rsidRPr="00F211C7" w:rsidRDefault="00F211C7" w:rsidP="00F211C7">
      <w:pPr>
        <w:rPr>
          <w:rFonts w:eastAsiaTheme="minorEastAsia"/>
          <w:sz w:val="22"/>
          <w:szCs w:val="22"/>
          <w:lang w:val="en-US"/>
        </w:rPr>
      </w:pPr>
      <w:r>
        <w:rPr>
          <w:rFonts w:eastAsiaTheme="minorEastAsia" w:hint="eastAsia"/>
          <w:sz w:val="22"/>
          <w:szCs w:val="22"/>
          <w:lang w:val="en-US"/>
        </w:rPr>
        <w:t>・</w:t>
      </w:r>
      <w:r>
        <w:rPr>
          <w:rFonts w:eastAsiaTheme="minorEastAsia"/>
          <w:sz w:val="22"/>
          <w:szCs w:val="22"/>
          <w:lang w:val="en-US"/>
        </w:rPr>
        <w:t xml:space="preserve">UE </w:t>
      </w:r>
      <w:r w:rsidR="002C12EE">
        <w:rPr>
          <w:rFonts w:eastAsiaTheme="minorEastAsia"/>
          <w:sz w:val="22"/>
          <w:szCs w:val="22"/>
          <w:lang w:val="en-US"/>
        </w:rPr>
        <w:t xml:space="preserve">without </w:t>
      </w:r>
      <w:r>
        <w:rPr>
          <w:rFonts w:eastAsiaTheme="minorEastAsia"/>
          <w:sz w:val="22"/>
          <w:szCs w:val="22"/>
          <w:lang w:val="en-US"/>
        </w:rPr>
        <w:t>capability</w:t>
      </w:r>
      <w:r w:rsidR="002C12EE">
        <w:rPr>
          <w:rFonts w:eastAsiaTheme="minorEastAsia"/>
          <w:sz w:val="22"/>
          <w:szCs w:val="22"/>
          <w:lang w:val="en-US"/>
        </w:rPr>
        <w:t xml:space="preserve"> 1/2</w:t>
      </w:r>
      <w:r>
        <w:rPr>
          <w:rFonts w:eastAsiaTheme="minorEastAsia"/>
          <w:sz w:val="22"/>
          <w:szCs w:val="22"/>
          <w:lang w:val="en-US"/>
        </w:rPr>
        <w:t>: UE (which supports DMRS bundling) has the ability to restart DMRS bundling subject to semi-static events, unless any dynamic event is overlapping or triggered before the</w:t>
      </w:r>
      <w:r w:rsidRPr="00122AF0">
        <w:rPr>
          <w:rFonts w:eastAsiaTheme="minorEastAsia"/>
          <w:sz w:val="22"/>
          <w:szCs w:val="22"/>
          <w:lang w:val="en-US"/>
        </w:rPr>
        <w:t xml:space="preserve"> </w:t>
      </w:r>
      <w:r>
        <w:rPr>
          <w:rFonts w:eastAsiaTheme="minorEastAsia"/>
          <w:sz w:val="22"/>
          <w:szCs w:val="22"/>
          <w:lang w:val="en-US"/>
        </w:rPr>
        <w:t>corresponding semi-static event within the nominal TDW.</w:t>
      </w:r>
    </w:p>
    <w:p w14:paraId="52FF0714" w14:textId="2AE494E7" w:rsidR="00F211C7" w:rsidRPr="00302646" w:rsidRDefault="00F211C7" w:rsidP="00681E82">
      <w:pPr>
        <w:spacing w:before="240" w:after="240"/>
        <w:rPr>
          <w:rFonts w:eastAsiaTheme="minorEastAsia"/>
          <w:sz w:val="22"/>
          <w:szCs w:val="22"/>
          <w:lang w:val="en-US"/>
        </w:rPr>
      </w:pPr>
      <w:r>
        <w:rPr>
          <w:rFonts w:eastAsiaTheme="minorEastAsia"/>
          <w:sz w:val="22"/>
          <w:szCs w:val="22"/>
          <w:lang w:val="en-US"/>
        </w:rPr>
        <w:t xml:space="preserve">The detail of proposed </w:t>
      </w:r>
      <w:r w:rsidR="00681E82">
        <w:rPr>
          <w:rFonts w:eastAsiaTheme="minorEastAsia"/>
          <w:sz w:val="22"/>
          <w:szCs w:val="22"/>
          <w:lang w:val="en-US"/>
        </w:rPr>
        <w:t>UE capabilit</w:t>
      </w:r>
      <w:r w:rsidR="002C12EE">
        <w:rPr>
          <w:rFonts w:eastAsiaTheme="minorEastAsia"/>
          <w:sz w:val="22"/>
          <w:szCs w:val="22"/>
          <w:lang w:val="en-US"/>
        </w:rPr>
        <w:t>ies</w:t>
      </w:r>
      <w:r>
        <w:rPr>
          <w:rFonts w:eastAsiaTheme="minorEastAsia"/>
          <w:sz w:val="22"/>
          <w:szCs w:val="22"/>
          <w:lang w:val="en-US"/>
        </w:rPr>
        <w:t xml:space="preserve"> </w:t>
      </w:r>
      <w:r w:rsidR="0071199C">
        <w:rPr>
          <w:rFonts w:eastAsiaTheme="minorEastAsia"/>
          <w:sz w:val="22"/>
          <w:szCs w:val="22"/>
          <w:lang w:val="en-US"/>
        </w:rPr>
        <w:t>is</w:t>
      </w:r>
      <w:r>
        <w:rPr>
          <w:rFonts w:eastAsiaTheme="minorEastAsia"/>
          <w:sz w:val="22"/>
          <w:szCs w:val="22"/>
          <w:lang w:val="en-US"/>
        </w:rPr>
        <w:t xml:space="preserve"> described in our </w:t>
      </w:r>
      <w:r w:rsidR="00681E82">
        <w:rPr>
          <w:rFonts w:eastAsiaTheme="minorEastAsia"/>
          <w:sz w:val="22"/>
          <w:szCs w:val="22"/>
          <w:lang w:val="en-US"/>
        </w:rPr>
        <w:t xml:space="preserve">companion </w:t>
      </w:r>
      <w:r>
        <w:rPr>
          <w:rFonts w:eastAsiaTheme="minorEastAsia"/>
          <w:sz w:val="22"/>
          <w:szCs w:val="22"/>
          <w:lang w:val="en-US"/>
        </w:rPr>
        <w:t>contribution for the UE feature discussion [</w:t>
      </w:r>
      <w:r w:rsidR="0071199C">
        <w:rPr>
          <w:rFonts w:eastAsiaTheme="minorEastAsia"/>
          <w:sz w:val="22"/>
          <w:szCs w:val="22"/>
          <w:lang w:val="en-US"/>
        </w:rPr>
        <w:t>2</w:t>
      </w:r>
      <w:r>
        <w:rPr>
          <w:rFonts w:eastAsiaTheme="minorEastAsia"/>
          <w:sz w:val="22"/>
          <w:szCs w:val="22"/>
          <w:lang w:val="en-US"/>
        </w:rPr>
        <w:t>].</w:t>
      </w:r>
      <w:r w:rsidR="00360D3B">
        <w:rPr>
          <w:rFonts w:eastAsiaTheme="minorEastAsia"/>
          <w:sz w:val="22"/>
          <w:szCs w:val="22"/>
          <w:lang w:val="en-US"/>
        </w:rPr>
        <w:t xml:space="preserve"> </w:t>
      </w:r>
    </w:p>
    <w:p w14:paraId="1EFB6BA1" w14:textId="38458862" w:rsidR="00F211C7" w:rsidRDefault="00F211C7" w:rsidP="00681E82">
      <w:pPr>
        <w:rPr>
          <w:rFonts w:eastAsia="游明朝"/>
          <w:b/>
          <w:sz w:val="22"/>
          <w:szCs w:val="22"/>
        </w:rPr>
      </w:pPr>
      <w:r>
        <w:rPr>
          <w:rFonts w:eastAsia="游明朝"/>
          <w:b/>
          <w:sz w:val="22"/>
          <w:szCs w:val="22"/>
          <w:u w:val="single"/>
          <w:lang w:val="en-US"/>
        </w:rPr>
        <w:t>Proposal 1</w:t>
      </w:r>
      <w:r w:rsidRPr="00212346">
        <w:rPr>
          <w:rFonts w:eastAsia="游明朝"/>
          <w:b/>
          <w:sz w:val="22"/>
          <w:szCs w:val="22"/>
          <w:u w:val="single"/>
        </w:rPr>
        <w:t>:</w:t>
      </w:r>
      <w:r w:rsidRPr="004C3828">
        <w:rPr>
          <w:rFonts w:eastAsia="游明朝" w:hint="eastAsia"/>
          <w:b/>
          <w:sz w:val="22"/>
          <w:szCs w:val="22"/>
        </w:rPr>
        <w:t xml:space="preserve"> </w:t>
      </w:r>
      <w:r w:rsidRPr="00F211C7">
        <w:rPr>
          <w:rFonts w:eastAsia="游明朝"/>
          <w:b/>
          <w:bCs/>
          <w:sz w:val="22"/>
          <w:szCs w:val="22"/>
        </w:rPr>
        <w:t>S</w:t>
      </w:r>
      <w:r>
        <w:rPr>
          <w:rFonts w:eastAsia="游明朝"/>
          <w:b/>
          <w:sz w:val="22"/>
          <w:szCs w:val="22"/>
        </w:rPr>
        <w:t>upport the following multiple UE capabilities related to restarting DMRS bundling.</w:t>
      </w:r>
    </w:p>
    <w:p w14:paraId="2E5CBFB4" w14:textId="3B66A4E7" w:rsidR="00F211C7" w:rsidRPr="00F211C7" w:rsidRDefault="00F211C7" w:rsidP="00F211C7">
      <w:pPr>
        <w:rPr>
          <w:rFonts w:eastAsiaTheme="minorEastAsia"/>
          <w:b/>
          <w:bCs/>
          <w:sz w:val="22"/>
          <w:szCs w:val="22"/>
          <w:lang w:val="en-US"/>
        </w:rPr>
      </w:pPr>
      <w:r w:rsidRPr="00F211C7">
        <w:rPr>
          <w:rFonts w:eastAsiaTheme="minorEastAsia" w:hint="eastAsia"/>
          <w:b/>
          <w:bCs/>
          <w:sz w:val="22"/>
          <w:szCs w:val="22"/>
          <w:lang w:val="en-US"/>
        </w:rPr>
        <w:t>・</w:t>
      </w:r>
      <w:r w:rsidRPr="00F211C7">
        <w:rPr>
          <w:rFonts w:eastAsiaTheme="minorEastAsia"/>
          <w:b/>
          <w:bCs/>
          <w:sz w:val="22"/>
          <w:szCs w:val="22"/>
          <w:lang w:val="en-US"/>
        </w:rPr>
        <w:t xml:space="preserve">UE </w:t>
      </w:r>
      <w:r w:rsidR="002C12EE">
        <w:rPr>
          <w:rFonts w:eastAsiaTheme="minorEastAsia"/>
          <w:b/>
          <w:bCs/>
          <w:sz w:val="22"/>
          <w:szCs w:val="22"/>
          <w:lang w:val="en-US"/>
        </w:rPr>
        <w:t xml:space="preserve">with </w:t>
      </w:r>
      <w:r w:rsidRPr="00F211C7">
        <w:rPr>
          <w:rFonts w:eastAsiaTheme="minorEastAsia"/>
          <w:b/>
          <w:bCs/>
          <w:sz w:val="22"/>
          <w:szCs w:val="22"/>
          <w:lang w:val="en-US"/>
        </w:rPr>
        <w:t>capability 1: UE has the ability to restart DMRS bundling subject to semi-static events, even when a dynamic event is precedent or overlapping with the corresponding semi-static event.</w:t>
      </w:r>
    </w:p>
    <w:p w14:paraId="3733296B" w14:textId="6835E7FB" w:rsidR="00F211C7" w:rsidRPr="00F211C7" w:rsidRDefault="00F211C7" w:rsidP="00F211C7">
      <w:pPr>
        <w:rPr>
          <w:rFonts w:eastAsiaTheme="minorEastAsia"/>
          <w:b/>
          <w:bCs/>
          <w:sz w:val="22"/>
          <w:szCs w:val="22"/>
          <w:lang w:val="en-US"/>
        </w:rPr>
      </w:pPr>
      <w:r w:rsidRPr="00F211C7">
        <w:rPr>
          <w:rFonts w:eastAsiaTheme="minorEastAsia" w:hint="eastAsia"/>
          <w:b/>
          <w:bCs/>
          <w:sz w:val="22"/>
          <w:szCs w:val="22"/>
          <w:lang w:val="en-US"/>
        </w:rPr>
        <w:t>・</w:t>
      </w:r>
      <w:r w:rsidRPr="00F211C7">
        <w:rPr>
          <w:rFonts w:eastAsiaTheme="minorEastAsia"/>
          <w:b/>
          <w:bCs/>
          <w:sz w:val="22"/>
          <w:szCs w:val="22"/>
          <w:lang w:val="en-US"/>
        </w:rPr>
        <w:t xml:space="preserve">UE </w:t>
      </w:r>
      <w:r w:rsidR="002C12EE">
        <w:rPr>
          <w:rFonts w:eastAsiaTheme="minorEastAsia"/>
          <w:b/>
          <w:bCs/>
          <w:sz w:val="22"/>
          <w:szCs w:val="22"/>
          <w:lang w:val="en-US"/>
        </w:rPr>
        <w:t xml:space="preserve">with </w:t>
      </w:r>
      <w:r w:rsidRPr="00F211C7">
        <w:rPr>
          <w:rFonts w:eastAsiaTheme="minorEastAsia"/>
          <w:b/>
          <w:bCs/>
          <w:sz w:val="22"/>
          <w:szCs w:val="22"/>
          <w:lang w:val="en-US"/>
        </w:rPr>
        <w:t>capability 2: UE has the ability to restart DMRS bundling subject to semi-static events or dynamic events</w:t>
      </w:r>
    </w:p>
    <w:p w14:paraId="47F84E61" w14:textId="0EEDEAE1" w:rsidR="00360D3B" w:rsidRPr="005E2C8C" w:rsidRDefault="00F211C7" w:rsidP="005E2C8C">
      <w:pPr>
        <w:rPr>
          <w:rFonts w:eastAsiaTheme="minorEastAsia"/>
          <w:b/>
          <w:bCs/>
          <w:sz w:val="22"/>
          <w:szCs w:val="22"/>
          <w:lang w:val="en-US"/>
        </w:rPr>
      </w:pPr>
      <w:r>
        <w:rPr>
          <w:rFonts w:eastAsiaTheme="minorEastAsia" w:hint="eastAsia"/>
          <w:b/>
          <w:bCs/>
          <w:sz w:val="22"/>
          <w:szCs w:val="22"/>
        </w:rPr>
        <w:t>・</w:t>
      </w:r>
      <w:r w:rsidRPr="00F211C7">
        <w:rPr>
          <w:rFonts w:eastAsiaTheme="minorEastAsia"/>
          <w:b/>
          <w:bCs/>
          <w:sz w:val="22"/>
          <w:szCs w:val="22"/>
          <w:lang w:val="en-US"/>
        </w:rPr>
        <w:t xml:space="preserve">UE </w:t>
      </w:r>
      <w:r w:rsidR="002C12EE">
        <w:rPr>
          <w:rFonts w:eastAsiaTheme="minorEastAsia"/>
          <w:b/>
          <w:bCs/>
          <w:sz w:val="22"/>
          <w:szCs w:val="22"/>
          <w:lang w:val="en-US"/>
        </w:rPr>
        <w:t xml:space="preserve">without </w:t>
      </w:r>
      <w:r w:rsidRPr="00F211C7">
        <w:rPr>
          <w:rFonts w:eastAsiaTheme="minorEastAsia"/>
          <w:b/>
          <w:bCs/>
          <w:sz w:val="22"/>
          <w:szCs w:val="22"/>
          <w:lang w:val="en-US"/>
        </w:rPr>
        <w:t>capability</w:t>
      </w:r>
      <w:r w:rsidR="002C12EE">
        <w:rPr>
          <w:rFonts w:eastAsiaTheme="minorEastAsia"/>
          <w:b/>
          <w:bCs/>
          <w:sz w:val="22"/>
          <w:szCs w:val="22"/>
          <w:lang w:val="en-US"/>
        </w:rPr>
        <w:t xml:space="preserve"> 1/2</w:t>
      </w:r>
      <w:r w:rsidRPr="00F211C7">
        <w:rPr>
          <w:rFonts w:eastAsiaTheme="minorEastAsia"/>
          <w:b/>
          <w:bCs/>
          <w:sz w:val="22"/>
          <w:szCs w:val="22"/>
          <w:lang w:val="en-US"/>
        </w:rPr>
        <w:t>: UE (which supports DMRS bundling) has the ability to restart DMRS bundling subject to semi-static events, unless any dynamic event is overlapping or triggered before the corresponding semi-static event within the nominal TDW.</w:t>
      </w:r>
    </w:p>
    <w:p w14:paraId="736375BD" w14:textId="777777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9A8BB96" w14:textId="512BA863" w:rsidR="006D02C5" w:rsidRDefault="006D02C5" w:rsidP="006D02C5">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 xml:space="preserve">ed </w:t>
      </w:r>
      <w:r w:rsidR="00122AF0" w:rsidRPr="002A511E">
        <w:rPr>
          <w:sz w:val="22"/>
          <w:szCs w:val="22"/>
          <w:lang w:val="en-US"/>
        </w:rPr>
        <w:t>remaining issues on</w:t>
      </w:r>
      <w:r w:rsidR="00122AF0" w:rsidRPr="007E607B">
        <w:rPr>
          <w:sz w:val="22"/>
          <w:szCs w:val="22"/>
          <w:lang w:val="en-US"/>
        </w:rPr>
        <w:t xml:space="preserve"> </w:t>
      </w:r>
      <w:r w:rsidR="00122AF0">
        <w:rPr>
          <w:sz w:val="22"/>
          <w:szCs w:val="22"/>
          <w:lang w:val="en-US"/>
        </w:rPr>
        <w:t>NR coverage enhancement</w:t>
      </w:r>
      <w:r w:rsidR="00122AF0" w:rsidRPr="007E607B">
        <w:rPr>
          <w:sz w:val="22"/>
          <w:szCs w:val="22"/>
          <w:lang w:val="en-US"/>
        </w:rPr>
        <w:t>.</w:t>
      </w:r>
      <w:r>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Pr>
          <w:rFonts w:eastAsiaTheme="minorEastAsia"/>
          <w:sz w:val="22"/>
          <w:szCs w:val="22"/>
          <w:lang w:val="en-US"/>
        </w:rPr>
        <w:t xml:space="preserve">the </w:t>
      </w:r>
      <w:r w:rsidRPr="00BA56A1">
        <w:rPr>
          <w:rFonts w:eastAsiaTheme="minorEastAsia" w:hint="eastAsia"/>
          <w:sz w:val="22"/>
          <w:szCs w:val="22"/>
          <w:lang w:val="en-US"/>
        </w:rPr>
        <w:t>following proposal.</w:t>
      </w:r>
    </w:p>
    <w:p w14:paraId="6FE918A8" w14:textId="77777777" w:rsidR="00681E82" w:rsidRDefault="00681E82" w:rsidP="00681E82">
      <w:pPr>
        <w:rPr>
          <w:rFonts w:eastAsia="游明朝"/>
          <w:b/>
          <w:sz w:val="22"/>
          <w:szCs w:val="22"/>
        </w:rPr>
      </w:pPr>
      <w:r>
        <w:rPr>
          <w:rFonts w:eastAsia="游明朝"/>
          <w:b/>
          <w:sz w:val="22"/>
          <w:szCs w:val="22"/>
          <w:u w:val="single"/>
          <w:lang w:val="en-US"/>
        </w:rPr>
        <w:t>Proposal 1</w:t>
      </w:r>
      <w:r w:rsidRPr="00212346">
        <w:rPr>
          <w:rFonts w:eastAsia="游明朝"/>
          <w:b/>
          <w:sz w:val="22"/>
          <w:szCs w:val="22"/>
          <w:u w:val="single"/>
        </w:rPr>
        <w:t>:</w:t>
      </w:r>
      <w:r w:rsidRPr="004C3828">
        <w:rPr>
          <w:rFonts w:eastAsia="游明朝" w:hint="eastAsia"/>
          <w:b/>
          <w:sz w:val="22"/>
          <w:szCs w:val="22"/>
        </w:rPr>
        <w:t xml:space="preserve"> </w:t>
      </w:r>
      <w:r w:rsidRPr="00F211C7">
        <w:rPr>
          <w:rFonts w:eastAsia="游明朝"/>
          <w:b/>
          <w:bCs/>
          <w:sz w:val="22"/>
          <w:szCs w:val="22"/>
        </w:rPr>
        <w:t>S</w:t>
      </w:r>
      <w:r>
        <w:rPr>
          <w:rFonts w:eastAsia="游明朝"/>
          <w:b/>
          <w:sz w:val="22"/>
          <w:szCs w:val="22"/>
        </w:rPr>
        <w:t>upport the following multiple UE capabilities related to restarting DMRS bundling.</w:t>
      </w:r>
    </w:p>
    <w:p w14:paraId="5C63E190" w14:textId="3A88FD34" w:rsidR="00681E82" w:rsidRPr="00F211C7" w:rsidRDefault="00681E82" w:rsidP="00681E82">
      <w:pPr>
        <w:rPr>
          <w:rFonts w:eastAsiaTheme="minorEastAsia"/>
          <w:b/>
          <w:bCs/>
          <w:sz w:val="22"/>
          <w:szCs w:val="22"/>
          <w:lang w:val="en-US"/>
        </w:rPr>
      </w:pPr>
      <w:r w:rsidRPr="00F211C7">
        <w:rPr>
          <w:rFonts w:eastAsiaTheme="minorEastAsia" w:hint="eastAsia"/>
          <w:b/>
          <w:bCs/>
          <w:sz w:val="22"/>
          <w:szCs w:val="22"/>
          <w:lang w:val="en-US"/>
        </w:rPr>
        <w:t>・</w:t>
      </w:r>
      <w:r w:rsidRPr="00F211C7">
        <w:rPr>
          <w:rFonts w:eastAsiaTheme="minorEastAsia"/>
          <w:b/>
          <w:bCs/>
          <w:sz w:val="22"/>
          <w:szCs w:val="22"/>
          <w:lang w:val="en-US"/>
        </w:rPr>
        <w:t xml:space="preserve">UE </w:t>
      </w:r>
      <w:r w:rsidR="002C12EE">
        <w:rPr>
          <w:rFonts w:eastAsiaTheme="minorEastAsia"/>
          <w:b/>
          <w:bCs/>
          <w:sz w:val="22"/>
          <w:szCs w:val="22"/>
          <w:lang w:val="en-US"/>
        </w:rPr>
        <w:t xml:space="preserve">with </w:t>
      </w:r>
      <w:r w:rsidRPr="00F211C7">
        <w:rPr>
          <w:rFonts w:eastAsiaTheme="minorEastAsia"/>
          <w:b/>
          <w:bCs/>
          <w:sz w:val="22"/>
          <w:szCs w:val="22"/>
          <w:lang w:val="en-US"/>
        </w:rPr>
        <w:t>capability 1: UE has the ability to restart DMRS bundling subject to semi-static events, even when a dynamic event is precedent or overlapping with the corresponding semi-static event.</w:t>
      </w:r>
    </w:p>
    <w:p w14:paraId="7ED126F4" w14:textId="6AA95223" w:rsidR="00681E82" w:rsidRPr="00F211C7" w:rsidRDefault="00681E82" w:rsidP="00681E82">
      <w:pPr>
        <w:rPr>
          <w:rFonts w:eastAsiaTheme="minorEastAsia"/>
          <w:b/>
          <w:bCs/>
          <w:sz w:val="22"/>
          <w:szCs w:val="22"/>
          <w:lang w:val="en-US"/>
        </w:rPr>
      </w:pPr>
      <w:r w:rsidRPr="00F211C7">
        <w:rPr>
          <w:rFonts w:eastAsiaTheme="minorEastAsia" w:hint="eastAsia"/>
          <w:b/>
          <w:bCs/>
          <w:sz w:val="22"/>
          <w:szCs w:val="22"/>
          <w:lang w:val="en-US"/>
        </w:rPr>
        <w:t>・</w:t>
      </w:r>
      <w:r w:rsidRPr="00F211C7">
        <w:rPr>
          <w:rFonts w:eastAsiaTheme="minorEastAsia"/>
          <w:b/>
          <w:bCs/>
          <w:sz w:val="22"/>
          <w:szCs w:val="22"/>
          <w:lang w:val="en-US"/>
        </w:rPr>
        <w:t xml:space="preserve">UE </w:t>
      </w:r>
      <w:r w:rsidR="002C12EE">
        <w:rPr>
          <w:rFonts w:eastAsiaTheme="minorEastAsia"/>
          <w:b/>
          <w:bCs/>
          <w:sz w:val="22"/>
          <w:szCs w:val="22"/>
          <w:lang w:val="en-US"/>
        </w:rPr>
        <w:t xml:space="preserve">with </w:t>
      </w:r>
      <w:r w:rsidRPr="00F211C7">
        <w:rPr>
          <w:rFonts w:eastAsiaTheme="minorEastAsia"/>
          <w:b/>
          <w:bCs/>
          <w:sz w:val="22"/>
          <w:szCs w:val="22"/>
          <w:lang w:val="en-US"/>
        </w:rPr>
        <w:t>capability 2: UE has the ability to restart DMRS bundling subject to semi-static events or dynamic events</w:t>
      </w:r>
    </w:p>
    <w:p w14:paraId="38F02ECC" w14:textId="55932F6F" w:rsidR="00F211C7" w:rsidRPr="00681E82" w:rsidRDefault="00681E82" w:rsidP="00681E82">
      <w:pPr>
        <w:rPr>
          <w:rFonts w:eastAsiaTheme="minorEastAsia"/>
          <w:b/>
          <w:bCs/>
          <w:sz w:val="22"/>
          <w:szCs w:val="22"/>
          <w:lang w:val="en-US"/>
        </w:rPr>
      </w:pPr>
      <w:r>
        <w:rPr>
          <w:rFonts w:eastAsiaTheme="minorEastAsia" w:hint="eastAsia"/>
          <w:b/>
          <w:bCs/>
          <w:sz w:val="22"/>
          <w:szCs w:val="22"/>
        </w:rPr>
        <w:t>・</w:t>
      </w:r>
      <w:r w:rsidRPr="00F211C7">
        <w:rPr>
          <w:rFonts w:eastAsiaTheme="minorEastAsia"/>
          <w:b/>
          <w:bCs/>
          <w:sz w:val="22"/>
          <w:szCs w:val="22"/>
          <w:lang w:val="en-US"/>
        </w:rPr>
        <w:t xml:space="preserve">UE </w:t>
      </w:r>
      <w:r w:rsidR="002C12EE">
        <w:rPr>
          <w:rFonts w:eastAsiaTheme="minorEastAsia"/>
          <w:b/>
          <w:bCs/>
          <w:sz w:val="22"/>
          <w:szCs w:val="22"/>
          <w:lang w:val="en-US"/>
        </w:rPr>
        <w:t xml:space="preserve">without </w:t>
      </w:r>
      <w:r w:rsidRPr="00F211C7">
        <w:rPr>
          <w:rFonts w:eastAsiaTheme="minorEastAsia"/>
          <w:b/>
          <w:bCs/>
          <w:sz w:val="22"/>
          <w:szCs w:val="22"/>
          <w:lang w:val="en-US"/>
        </w:rPr>
        <w:t>capability</w:t>
      </w:r>
      <w:r w:rsidR="002C12EE">
        <w:rPr>
          <w:rFonts w:eastAsiaTheme="minorEastAsia"/>
          <w:b/>
          <w:bCs/>
          <w:sz w:val="22"/>
          <w:szCs w:val="22"/>
          <w:lang w:val="en-US"/>
        </w:rPr>
        <w:t xml:space="preserve"> 1/2</w:t>
      </w:r>
      <w:r w:rsidRPr="00F211C7">
        <w:rPr>
          <w:rFonts w:eastAsiaTheme="minorEastAsia"/>
          <w:b/>
          <w:bCs/>
          <w:sz w:val="22"/>
          <w:szCs w:val="22"/>
          <w:lang w:val="en-US"/>
        </w:rPr>
        <w:t>: UE (which supports DMRS bundling) has the ability to restart DMRS bundling subject to semi-static events, unless any dynamic event is overlapping or triggered before the corresponding semi-static event within the nominal TDW.</w:t>
      </w:r>
    </w:p>
    <w:p w14:paraId="39F01605" w14:textId="77777777" w:rsidR="00360D3B" w:rsidRPr="00DA0718" w:rsidRDefault="00360D3B" w:rsidP="007C122C">
      <w:pPr>
        <w:rPr>
          <w:rFonts w:eastAsia="游明朝"/>
          <w:b/>
          <w:sz w:val="22"/>
          <w:szCs w:val="22"/>
        </w:rPr>
      </w:pPr>
    </w:p>
    <w:p w14:paraId="1A7CEF1A" w14:textId="0DF86124" w:rsidR="007E607B" w:rsidRPr="00122AF0" w:rsidRDefault="009E3AC0" w:rsidP="00122AF0">
      <w:pPr>
        <w:pStyle w:val="1"/>
        <w:spacing w:before="180" w:after="120"/>
        <w:rPr>
          <w:rFonts w:eastAsia="ＭＳ 明朝"/>
          <w:b/>
          <w:bCs/>
          <w:szCs w:val="24"/>
          <w:lang w:val="en-US"/>
        </w:rPr>
      </w:pPr>
      <w:r w:rsidRPr="00EE092A">
        <w:rPr>
          <w:rFonts w:eastAsia="ＭＳ 明朝"/>
          <w:b/>
          <w:bCs/>
          <w:szCs w:val="24"/>
          <w:lang w:val="en-US"/>
        </w:rPr>
        <w:t>References</w:t>
      </w:r>
    </w:p>
    <w:p w14:paraId="7F98EDB4" w14:textId="512769CB" w:rsidR="00360D3B" w:rsidRDefault="00360D3B" w:rsidP="00360D3B">
      <w:pPr>
        <w:pStyle w:val="aff6"/>
        <w:numPr>
          <w:ilvl w:val="0"/>
          <w:numId w:val="4"/>
        </w:numPr>
        <w:spacing w:afterLines="50" w:after="120"/>
        <w:ind w:leftChars="0"/>
        <w:jc w:val="both"/>
        <w:rPr>
          <w:rFonts w:eastAsia="ＭＳ 明朝"/>
          <w:sz w:val="22"/>
        </w:rPr>
      </w:pPr>
      <w:r>
        <w:rPr>
          <w:rFonts w:eastAsia="ＭＳ 明朝"/>
          <w:sz w:val="22"/>
        </w:rPr>
        <w:t>RAN1 Chair (Samsung), RP-222592, Moderator’s summary for discussion [97e-32-R17-CovEnh]</w:t>
      </w:r>
      <w:r w:rsidR="00305C80">
        <w:rPr>
          <w:rFonts w:eastAsia="ＭＳ 明朝"/>
          <w:sz w:val="22"/>
        </w:rPr>
        <w:t>, Oct. 2022</w:t>
      </w:r>
    </w:p>
    <w:p w14:paraId="42BB966C" w14:textId="35CC7F41" w:rsidR="00302646" w:rsidRPr="00302646" w:rsidRDefault="00302646" w:rsidP="00302646">
      <w:pPr>
        <w:pStyle w:val="aff6"/>
        <w:numPr>
          <w:ilvl w:val="0"/>
          <w:numId w:val="4"/>
        </w:numPr>
        <w:spacing w:afterLines="50" w:after="120"/>
        <w:ind w:leftChars="0"/>
        <w:jc w:val="both"/>
        <w:rPr>
          <w:rFonts w:eastAsia="ＭＳ 明朝"/>
          <w:sz w:val="22"/>
        </w:rPr>
      </w:pPr>
      <w:r>
        <w:rPr>
          <w:rFonts w:eastAsia="ＭＳ 明朝"/>
          <w:sz w:val="22"/>
        </w:rPr>
        <w:t xml:space="preserve">NTT DOCOMO, INC., </w:t>
      </w:r>
      <w:r w:rsidR="00393C0C" w:rsidRPr="00393C0C">
        <w:rPr>
          <w:rFonts w:eastAsia="ＭＳ 明朝"/>
          <w:sz w:val="22"/>
        </w:rPr>
        <w:t>R1-2211968</w:t>
      </w:r>
      <w:r>
        <w:rPr>
          <w:rFonts w:eastAsia="ＭＳ 明朝"/>
          <w:sz w:val="22"/>
        </w:rPr>
        <w:t xml:space="preserve">, </w:t>
      </w:r>
      <w:r w:rsidR="00360D3B" w:rsidRPr="00360D3B">
        <w:rPr>
          <w:rFonts w:eastAsia="ＭＳ 明朝"/>
          <w:sz w:val="22"/>
        </w:rPr>
        <w:t>Discussion on remaining issues regarding Rel-17 RAN1 UE features topics 1</w:t>
      </w:r>
      <w:r>
        <w:rPr>
          <w:rFonts w:eastAsia="ＭＳ 明朝"/>
          <w:sz w:val="22"/>
        </w:rPr>
        <w:t xml:space="preserve">, </w:t>
      </w:r>
      <w:r w:rsidR="00883D6B">
        <w:rPr>
          <w:rFonts w:eastAsia="ＭＳ 明朝"/>
          <w:sz w:val="22"/>
        </w:rPr>
        <w:t>Nov</w:t>
      </w:r>
      <w:r w:rsidR="005E2C8C">
        <w:rPr>
          <w:rFonts w:eastAsia="ＭＳ 明朝"/>
          <w:sz w:val="22"/>
        </w:rPr>
        <w:t>.</w:t>
      </w:r>
      <w:r>
        <w:rPr>
          <w:rFonts w:eastAsia="ＭＳ 明朝"/>
          <w:sz w:val="22"/>
        </w:rPr>
        <w:t xml:space="preserve"> 2022.</w:t>
      </w:r>
    </w:p>
    <w:sectPr w:rsidR="00302646" w:rsidRPr="00302646">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5C566" w14:textId="77777777" w:rsidR="00C955D3" w:rsidRDefault="00C955D3">
      <w:r>
        <w:separator/>
      </w:r>
    </w:p>
  </w:endnote>
  <w:endnote w:type="continuationSeparator" w:id="0">
    <w:p w14:paraId="4464D834" w14:textId="77777777" w:rsidR="00C955D3" w:rsidRDefault="00C955D3">
      <w:r>
        <w:continuationSeparator/>
      </w:r>
    </w:p>
  </w:endnote>
  <w:endnote w:type="continuationNotice" w:id="1">
    <w:p w14:paraId="5241111C" w14:textId="77777777" w:rsidR="00C955D3" w:rsidRDefault="00C955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68662" w14:textId="77777777" w:rsidR="00C955D3" w:rsidRDefault="00C955D3">
      <w:r>
        <w:separator/>
      </w:r>
    </w:p>
  </w:footnote>
  <w:footnote w:type="continuationSeparator" w:id="0">
    <w:p w14:paraId="358C277E" w14:textId="77777777" w:rsidR="00C955D3" w:rsidRDefault="00C955D3">
      <w:r>
        <w:continuationSeparator/>
      </w:r>
    </w:p>
  </w:footnote>
  <w:footnote w:type="continuationNotice" w:id="1">
    <w:p w14:paraId="46E721D2" w14:textId="77777777" w:rsidR="00C955D3" w:rsidRDefault="00C955D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0767A3"/>
    <w:multiLevelType w:val="hybridMultilevel"/>
    <w:tmpl w:val="1062BF10"/>
    <w:lvl w:ilvl="0" w:tplc="04D49B1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E10FBD"/>
    <w:multiLevelType w:val="multilevel"/>
    <w:tmpl w:val="41E10F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9"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2BA6934"/>
    <w:multiLevelType w:val="hybridMultilevel"/>
    <w:tmpl w:val="970075CC"/>
    <w:lvl w:ilvl="0" w:tplc="D83E5620">
      <w:numFmt w:val="bullet"/>
      <w:lvlText w:val=""/>
      <w:lvlJc w:val="left"/>
      <w:pPr>
        <w:ind w:left="473" w:hanging="360"/>
      </w:pPr>
      <w:rPr>
        <w:rFonts w:ascii="Wingdings" w:eastAsiaTheme="minorEastAsia" w:hAnsi="Wingdings" w:cs="Times New Roman" w:hint="default"/>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AB24AD2"/>
    <w:multiLevelType w:val="hybridMultilevel"/>
    <w:tmpl w:val="8E607EB6"/>
    <w:lvl w:ilvl="0" w:tplc="AAF043BA">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5"/>
  </w:num>
  <w:num w:numId="3">
    <w:abstractNumId w:val="9"/>
  </w:num>
  <w:num w:numId="4">
    <w:abstractNumId w:val="5"/>
  </w:num>
  <w:num w:numId="5">
    <w:abstractNumId w:val="30"/>
  </w:num>
  <w:num w:numId="6">
    <w:abstractNumId w:val="23"/>
  </w:num>
  <w:num w:numId="7">
    <w:abstractNumId w:val="0"/>
    <w:lvlOverride w:ilvl="0">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27"/>
  </w:num>
  <w:num w:numId="12">
    <w:abstractNumId w:val="12"/>
    <w:lvlOverride w:ilvl="0">
      <w:startOverride w:val="1"/>
    </w:lvlOverride>
  </w:num>
  <w:num w:numId="13">
    <w:abstractNumId w:val="24"/>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2"/>
  </w:num>
  <w:num w:numId="17">
    <w:abstractNumId w:val="3"/>
  </w:num>
  <w:num w:numId="18">
    <w:abstractNumId w:val="26"/>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num>
  <w:num w:numId="21">
    <w:abstractNumId w:val="14"/>
    <w:lvlOverride w:ilvl="0">
      <w:startOverride w:val="1"/>
    </w:lvlOverride>
    <w:lvlOverride w:ilvl="1"/>
    <w:lvlOverride w:ilvl="2"/>
    <w:lvlOverride w:ilvl="3"/>
    <w:lvlOverride w:ilvl="4"/>
    <w:lvlOverride w:ilvl="5"/>
    <w:lvlOverride w:ilvl="6"/>
    <w:lvlOverride w:ilvl="7"/>
    <w:lvlOverride w:ilvl="8"/>
  </w:num>
  <w:num w:numId="22">
    <w:abstractNumId w:val="8"/>
  </w:num>
  <w:num w:numId="23">
    <w:abstractNumId w:val="10"/>
  </w:num>
  <w:num w:numId="24">
    <w:abstractNumId w:val="6"/>
  </w:num>
  <w:num w:numId="25">
    <w:abstractNumId w:val="28"/>
  </w:num>
  <w:num w:numId="26">
    <w:abstractNumId w:val="11"/>
  </w:num>
  <w:num w:numId="27">
    <w:abstractNumId w:val="4"/>
  </w:num>
  <w:num w:numId="28">
    <w:abstractNumId w:val="29"/>
  </w:num>
  <w:num w:numId="29">
    <w:abstractNumId w:val="22"/>
  </w:num>
  <w:num w:numId="30">
    <w:abstractNumId w:val="19"/>
  </w:num>
  <w:num w:numId="31">
    <w:abstractNumId w:val="13"/>
  </w:num>
  <w:num w:numId="32">
    <w:abstractNumId w:val="20"/>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4CD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018"/>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496"/>
    <w:rsid w:val="000445C0"/>
    <w:rsid w:val="000445FA"/>
    <w:rsid w:val="00044B96"/>
    <w:rsid w:val="00044CF8"/>
    <w:rsid w:val="00044F75"/>
    <w:rsid w:val="000452B5"/>
    <w:rsid w:val="00045994"/>
    <w:rsid w:val="00045E79"/>
    <w:rsid w:val="0004617C"/>
    <w:rsid w:val="0004620F"/>
    <w:rsid w:val="00046316"/>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343"/>
    <w:rsid w:val="00094631"/>
    <w:rsid w:val="00094903"/>
    <w:rsid w:val="0009490A"/>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1DA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1E0B"/>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527"/>
    <w:rsid w:val="00122AF0"/>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12B"/>
    <w:rsid w:val="001353C2"/>
    <w:rsid w:val="001359E4"/>
    <w:rsid w:val="00135B02"/>
    <w:rsid w:val="00135E98"/>
    <w:rsid w:val="00135F39"/>
    <w:rsid w:val="00136322"/>
    <w:rsid w:val="00136378"/>
    <w:rsid w:val="00136640"/>
    <w:rsid w:val="00136A69"/>
    <w:rsid w:val="00136B23"/>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69"/>
    <w:rsid w:val="00147984"/>
    <w:rsid w:val="001479DF"/>
    <w:rsid w:val="00147BE5"/>
    <w:rsid w:val="001501F7"/>
    <w:rsid w:val="0015067A"/>
    <w:rsid w:val="00150709"/>
    <w:rsid w:val="00150A72"/>
    <w:rsid w:val="00150BF2"/>
    <w:rsid w:val="00150C74"/>
    <w:rsid w:val="00150C9B"/>
    <w:rsid w:val="00150CED"/>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9E"/>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39E"/>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1BB"/>
    <w:rsid w:val="001A130B"/>
    <w:rsid w:val="001A154D"/>
    <w:rsid w:val="001A19DB"/>
    <w:rsid w:val="001A1A1F"/>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72C0"/>
    <w:rsid w:val="001A7B0F"/>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BA"/>
    <w:rsid w:val="001C1FE0"/>
    <w:rsid w:val="001C2031"/>
    <w:rsid w:val="001C21AC"/>
    <w:rsid w:val="001C29A7"/>
    <w:rsid w:val="001C2ADC"/>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54B"/>
    <w:rsid w:val="001C68C7"/>
    <w:rsid w:val="001C6F5A"/>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F1"/>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918"/>
    <w:rsid w:val="00211B38"/>
    <w:rsid w:val="002122BB"/>
    <w:rsid w:val="00212447"/>
    <w:rsid w:val="00212557"/>
    <w:rsid w:val="00212805"/>
    <w:rsid w:val="00212944"/>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06"/>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A60"/>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D86"/>
    <w:rsid w:val="0026004E"/>
    <w:rsid w:val="00260195"/>
    <w:rsid w:val="002602CE"/>
    <w:rsid w:val="002603EF"/>
    <w:rsid w:val="00260502"/>
    <w:rsid w:val="0026061B"/>
    <w:rsid w:val="002606B3"/>
    <w:rsid w:val="002609EE"/>
    <w:rsid w:val="00260D10"/>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2FE2"/>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0A7"/>
    <w:rsid w:val="002A1A23"/>
    <w:rsid w:val="002A1C9F"/>
    <w:rsid w:val="002A1E4B"/>
    <w:rsid w:val="002A225A"/>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628"/>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2EE"/>
    <w:rsid w:val="002C135E"/>
    <w:rsid w:val="002C168A"/>
    <w:rsid w:val="002C17F8"/>
    <w:rsid w:val="002C198B"/>
    <w:rsid w:val="002C1B42"/>
    <w:rsid w:val="002C1BF7"/>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1F"/>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646"/>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C80"/>
    <w:rsid w:val="00305DF2"/>
    <w:rsid w:val="00305F0F"/>
    <w:rsid w:val="00306094"/>
    <w:rsid w:val="00306292"/>
    <w:rsid w:val="00306DC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6AD8"/>
    <w:rsid w:val="00317174"/>
    <w:rsid w:val="003172BB"/>
    <w:rsid w:val="003174D8"/>
    <w:rsid w:val="0031777C"/>
    <w:rsid w:val="00317783"/>
    <w:rsid w:val="003177B5"/>
    <w:rsid w:val="00317865"/>
    <w:rsid w:val="003178CA"/>
    <w:rsid w:val="00317A1C"/>
    <w:rsid w:val="00317FB1"/>
    <w:rsid w:val="00320159"/>
    <w:rsid w:val="00320925"/>
    <w:rsid w:val="00320A48"/>
    <w:rsid w:val="00320A90"/>
    <w:rsid w:val="00320C55"/>
    <w:rsid w:val="00321046"/>
    <w:rsid w:val="003217BE"/>
    <w:rsid w:val="00321949"/>
    <w:rsid w:val="003220A7"/>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6E4B"/>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09B"/>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2F"/>
    <w:rsid w:val="003572D7"/>
    <w:rsid w:val="00357449"/>
    <w:rsid w:val="003575AA"/>
    <w:rsid w:val="0035775C"/>
    <w:rsid w:val="00357CDF"/>
    <w:rsid w:val="0036029B"/>
    <w:rsid w:val="00360C5C"/>
    <w:rsid w:val="00360D3B"/>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0DD"/>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0C"/>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9E5"/>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794"/>
    <w:rsid w:val="003A68EC"/>
    <w:rsid w:val="003A6AC6"/>
    <w:rsid w:val="003A6FDE"/>
    <w:rsid w:val="003A7A1E"/>
    <w:rsid w:val="003A7FC8"/>
    <w:rsid w:val="003B013B"/>
    <w:rsid w:val="003B024F"/>
    <w:rsid w:val="003B0BED"/>
    <w:rsid w:val="003B12DF"/>
    <w:rsid w:val="003B1373"/>
    <w:rsid w:val="003B13AB"/>
    <w:rsid w:val="003B1521"/>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076"/>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1A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ED"/>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75"/>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66D"/>
    <w:rsid w:val="00457699"/>
    <w:rsid w:val="004602D7"/>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3B9"/>
    <w:rsid w:val="0048553F"/>
    <w:rsid w:val="00485566"/>
    <w:rsid w:val="004859BA"/>
    <w:rsid w:val="00485A25"/>
    <w:rsid w:val="00485AA9"/>
    <w:rsid w:val="00485B60"/>
    <w:rsid w:val="00485B9E"/>
    <w:rsid w:val="00485D81"/>
    <w:rsid w:val="00486042"/>
    <w:rsid w:val="004860E7"/>
    <w:rsid w:val="004863E2"/>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4C3"/>
    <w:rsid w:val="004B3705"/>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E20"/>
    <w:rsid w:val="004C7F1E"/>
    <w:rsid w:val="004C7FD6"/>
    <w:rsid w:val="004D04AA"/>
    <w:rsid w:val="004D077B"/>
    <w:rsid w:val="004D0E3F"/>
    <w:rsid w:val="004D19EF"/>
    <w:rsid w:val="004D211C"/>
    <w:rsid w:val="004D228D"/>
    <w:rsid w:val="004D23CE"/>
    <w:rsid w:val="004D249C"/>
    <w:rsid w:val="004D24DE"/>
    <w:rsid w:val="004D279C"/>
    <w:rsid w:val="004D2B38"/>
    <w:rsid w:val="004D30DA"/>
    <w:rsid w:val="004D33F6"/>
    <w:rsid w:val="004D3648"/>
    <w:rsid w:val="004D3BC0"/>
    <w:rsid w:val="004D3C17"/>
    <w:rsid w:val="004D3E8E"/>
    <w:rsid w:val="004D3FC6"/>
    <w:rsid w:val="004D417E"/>
    <w:rsid w:val="004D4488"/>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1EC0"/>
    <w:rsid w:val="005122D0"/>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8D7"/>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CA4"/>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0"/>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3FCE"/>
    <w:rsid w:val="005B456F"/>
    <w:rsid w:val="005B487F"/>
    <w:rsid w:val="005B4AC4"/>
    <w:rsid w:val="005B5288"/>
    <w:rsid w:val="005B5354"/>
    <w:rsid w:val="005B5879"/>
    <w:rsid w:val="005B5BAC"/>
    <w:rsid w:val="005B6074"/>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E0E"/>
    <w:rsid w:val="005D5FF5"/>
    <w:rsid w:val="005D6A0A"/>
    <w:rsid w:val="005D6A37"/>
    <w:rsid w:val="005D6B61"/>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C8C"/>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196"/>
    <w:rsid w:val="005F13DA"/>
    <w:rsid w:val="005F1528"/>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5F77"/>
    <w:rsid w:val="00636464"/>
    <w:rsid w:val="0063666B"/>
    <w:rsid w:val="00636A27"/>
    <w:rsid w:val="006372B6"/>
    <w:rsid w:val="00637327"/>
    <w:rsid w:val="00637669"/>
    <w:rsid w:val="006377C8"/>
    <w:rsid w:val="00637EBC"/>
    <w:rsid w:val="00640054"/>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A3"/>
    <w:rsid w:val="006547CC"/>
    <w:rsid w:val="00654A5C"/>
    <w:rsid w:val="00654DB5"/>
    <w:rsid w:val="00654E59"/>
    <w:rsid w:val="00654E7E"/>
    <w:rsid w:val="006551BD"/>
    <w:rsid w:val="00655521"/>
    <w:rsid w:val="00655621"/>
    <w:rsid w:val="00655645"/>
    <w:rsid w:val="00655C61"/>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1EAB"/>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317"/>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82"/>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2C5"/>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784"/>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99C"/>
    <w:rsid w:val="007122F9"/>
    <w:rsid w:val="0071230B"/>
    <w:rsid w:val="007123E7"/>
    <w:rsid w:val="0071267B"/>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7E2"/>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2D93"/>
    <w:rsid w:val="00753312"/>
    <w:rsid w:val="00753562"/>
    <w:rsid w:val="0075391C"/>
    <w:rsid w:val="00753D5E"/>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67ED1"/>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CB3"/>
    <w:rsid w:val="00786D76"/>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8E7"/>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DA6"/>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4F7"/>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6CE"/>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CA2"/>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284"/>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3D6B"/>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296"/>
    <w:rsid w:val="008D3651"/>
    <w:rsid w:val="008D3BD8"/>
    <w:rsid w:val="008D4318"/>
    <w:rsid w:val="008D43C3"/>
    <w:rsid w:val="008D4679"/>
    <w:rsid w:val="008D4AAF"/>
    <w:rsid w:val="008D4AD9"/>
    <w:rsid w:val="008D4B36"/>
    <w:rsid w:val="008D4D56"/>
    <w:rsid w:val="008D4FB9"/>
    <w:rsid w:val="008D5204"/>
    <w:rsid w:val="008D5259"/>
    <w:rsid w:val="008D5845"/>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1F4E"/>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6D2A"/>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79"/>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1E7"/>
    <w:rsid w:val="00954692"/>
    <w:rsid w:val="0095494C"/>
    <w:rsid w:val="0095574B"/>
    <w:rsid w:val="0095598A"/>
    <w:rsid w:val="00956066"/>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3C5"/>
    <w:rsid w:val="00965568"/>
    <w:rsid w:val="00965930"/>
    <w:rsid w:val="009659A5"/>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A30"/>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401A"/>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6F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57144"/>
    <w:rsid w:val="00A6003E"/>
    <w:rsid w:val="00A6045E"/>
    <w:rsid w:val="00A613F4"/>
    <w:rsid w:val="00A618F7"/>
    <w:rsid w:val="00A61A4F"/>
    <w:rsid w:val="00A61EFF"/>
    <w:rsid w:val="00A61F5E"/>
    <w:rsid w:val="00A620F6"/>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B6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38F"/>
    <w:rsid w:val="00AC4E8A"/>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424"/>
    <w:rsid w:val="00AD4899"/>
    <w:rsid w:val="00AD4C92"/>
    <w:rsid w:val="00AD4CF8"/>
    <w:rsid w:val="00AD4FC0"/>
    <w:rsid w:val="00AD51B8"/>
    <w:rsid w:val="00AD51EE"/>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26"/>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37BC"/>
    <w:rsid w:val="00B0404F"/>
    <w:rsid w:val="00B04350"/>
    <w:rsid w:val="00B04440"/>
    <w:rsid w:val="00B04507"/>
    <w:rsid w:val="00B0456E"/>
    <w:rsid w:val="00B04B1A"/>
    <w:rsid w:val="00B04C1E"/>
    <w:rsid w:val="00B04E55"/>
    <w:rsid w:val="00B04FC2"/>
    <w:rsid w:val="00B053B9"/>
    <w:rsid w:val="00B0595C"/>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95"/>
    <w:rsid w:val="00B453E4"/>
    <w:rsid w:val="00B453E8"/>
    <w:rsid w:val="00B45A0B"/>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524"/>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AC"/>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6A89"/>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1B"/>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AC0"/>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3060C"/>
    <w:rsid w:val="00C308E4"/>
    <w:rsid w:val="00C30EA7"/>
    <w:rsid w:val="00C312AA"/>
    <w:rsid w:val="00C31F8A"/>
    <w:rsid w:val="00C31FB1"/>
    <w:rsid w:val="00C31FB6"/>
    <w:rsid w:val="00C32800"/>
    <w:rsid w:val="00C3284B"/>
    <w:rsid w:val="00C32912"/>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272"/>
    <w:rsid w:val="00C413B1"/>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A6"/>
    <w:rsid w:val="00C521EB"/>
    <w:rsid w:val="00C527C8"/>
    <w:rsid w:val="00C52824"/>
    <w:rsid w:val="00C52831"/>
    <w:rsid w:val="00C52B78"/>
    <w:rsid w:val="00C52E33"/>
    <w:rsid w:val="00C53071"/>
    <w:rsid w:val="00C53738"/>
    <w:rsid w:val="00C53ADD"/>
    <w:rsid w:val="00C53E05"/>
    <w:rsid w:val="00C54289"/>
    <w:rsid w:val="00C54388"/>
    <w:rsid w:val="00C5470A"/>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0D30"/>
    <w:rsid w:val="00C71516"/>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DCF"/>
    <w:rsid w:val="00C94E4E"/>
    <w:rsid w:val="00C95254"/>
    <w:rsid w:val="00C9529A"/>
    <w:rsid w:val="00C955B3"/>
    <w:rsid w:val="00C955D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673"/>
    <w:rsid w:val="00CA4721"/>
    <w:rsid w:val="00CA4C47"/>
    <w:rsid w:val="00CA4CF8"/>
    <w:rsid w:val="00CA4D7C"/>
    <w:rsid w:val="00CA4E63"/>
    <w:rsid w:val="00CA4E6A"/>
    <w:rsid w:val="00CA51A9"/>
    <w:rsid w:val="00CA5644"/>
    <w:rsid w:val="00CA5771"/>
    <w:rsid w:val="00CA57AC"/>
    <w:rsid w:val="00CA5900"/>
    <w:rsid w:val="00CA5937"/>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1090"/>
    <w:rsid w:val="00CC17B9"/>
    <w:rsid w:val="00CC1852"/>
    <w:rsid w:val="00CC1949"/>
    <w:rsid w:val="00CC1B85"/>
    <w:rsid w:val="00CC1E68"/>
    <w:rsid w:val="00CC2131"/>
    <w:rsid w:val="00CC2134"/>
    <w:rsid w:val="00CC2913"/>
    <w:rsid w:val="00CC2FB6"/>
    <w:rsid w:val="00CC2FCC"/>
    <w:rsid w:val="00CC3092"/>
    <w:rsid w:val="00CC3EC1"/>
    <w:rsid w:val="00CC3F75"/>
    <w:rsid w:val="00CC465D"/>
    <w:rsid w:val="00CC4686"/>
    <w:rsid w:val="00CC477A"/>
    <w:rsid w:val="00CC491B"/>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3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CCE"/>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718"/>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717"/>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AFB"/>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66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426"/>
    <w:rsid w:val="00DE4AB9"/>
    <w:rsid w:val="00DE4CC4"/>
    <w:rsid w:val="00DE5606"/>
    <w:rsid w:val="00DE580C"/>
    <w:rsid w:val="00DE5A29"/>
    <w:rsid w:val="00DE5C63"/>
    <w:rsid w:val="00DE5EA9"/>
    <w:rsid w:val="00DE6008"/>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9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9A3"/>
    <w:rsid w:val="00E21D73"/>
    <w:rsid w:val="00E22255"/>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560"/>
    <w:rsid w:val="00E46653"/>
    <w:rsid w:val="00E46999"/>
    <w:rsid w:val="00E46FB0"/>
    <w:rsid w:val="00E4737F"/>
    <w:rsid w:val="00E477EE"/>
    <w:rsid w:val="00E502A7"/>
    <w:rsid w:val="00E50362"/>
    <w:rsid w:val="00E5057E"/>
    <w:rsid w:val="00E505B3"/>
    <w:rsid w:val="00E5127A"/>
    <w:rsid w:val="00E514DC"/>
    <w:rsid w:val="00E5155A"/>
    <w:rsid w:val="00E51945"/>
    <w:rsid w:val="00E51954"/>
    <w:rsid w:val="00E51A48"/>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40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981"/>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5BD"/>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845"/>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072"/>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1C7"/>
    <w:rsid w:val="00F21251"/>
    <w:rsid w:val="00F213EE"/>
    <w:rsid w:val="00F21608"/>
    <w:rsid w:val="00F21DA8"/>
    <w:rsid w:val="00F22128"/>
    <w:rsid w:val="00F2221C"/>
    <w:rsid w:val="00F22827"/>
    <w:rsid w:val="00F22AE0"/>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C8C"/>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57EF3"/>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AD2"/>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577"/>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211C7"/>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19848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262304122">
          <w:marLeft w:val="1166"/>
          <w:marRight w:val="0"/>
          <w:marTop w:val="0"/>
          <w:marBottom w:val="0"/>
          <w:divBdr>
            <w:top w:val="none" w:sz="0" w:space="0" w:color="auto"/>
            <w:left w:val="none" w:sz="0" w:space="0" w:color="auto"/>
            <w:bottom w:val="none" w:sz="0" w:space="0" w:color="auto"/>
            <w:right w:val="none" w:sz="0" w:space="0" w:color="auto"/>
          </w:divBdr>
        </w:div>
        <w:div w:id="166405045">
          <w:marLeft w:val="1800"/>
          <w:marRight w:val="0"/>
          <w:marTop w:val="0"/>
          <w:marBottom w:val="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1282</Words>
  <Characters>7311</Characters>
  <Application>Microsoft Office Word</Application>
  <DocSecurity>0</DocSecurity>
  <Lines>60</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Haruhi Echigo (越後 春陽)</cp:lastModifiedBy>
  <cp:revision>4</cp:revision>
  <cp:lastPrinted>2017-08-09T04:40:00Z</cp:lastPrinted>
  <dcterms:created xsi:type="dcterms:W3CDTF">2022-11-07T06:47:00Z</dcterms:created>
  <dcterms:modified xsi:type="dcterms:W3CDTF">2022-11-07T07:27:00Z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